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8" w:type="dxa"/>
        <w:jc w:val="center"/>
        <w:tblBorders>
          <w:top w:val="single" w:sz="4" w:space="0" w:color="auto"/>
          <w:left w:val="single" w:sz="4" w:space="0" w:color="auto"/>
          <w:bottom w:val="single" w:sz="4" w:space="0" w:color="auto"/>
          <w:right w:val="single" w:sz="4" w:space="0" w:color="auto"/>
          <w:insideH w:val="single" w:sz="8" w:space="0" w:color="002D72" w:themeColor="text2"/>
        </w:tblBorders>
        <w:tblLook w:val="01E0" w:firstRow="1" w:lastRow="1" w:firstColumn="1" w:lastColumn="1" w:noHBand="0" w:noVBand="0"/>
      </w:tblPr>
      <w:tblGrid>
        <w:gridCol w:w="3063"/>
        <w:gridCol w:w="3229"/>
        <w:gridCol w:w="1951"/>
        <w:gridCol w:w="1965"/>
      </w:tblGrid>
      <w:tr w:rsidR="009E7020" w:rsidRPr="00BD6097" w14:paraId="4C2CE470" w14:textId="77777777" w:rsidTr="68B0D3D2">
        <w:trPr>
          <w:trHeight w:val="465"/>
          <w:jc w:val="center"/>
        </w:trPr>
        <w:tc>
          <w:tcPr>
            <w:tcW w:w="3063" w:type="dxa"/>
            <w:shd w:val="clear" w:color="auto" w:fill="002D72" w:themeFill="text2"/>
          </w:tcPr>
          <w:p w14:paraId="2306F3A5" w14:textId="54BE24AA" w:rsidR="00BE527C" w:rsidRPr="00BD6097" w:rsidRDefault="00BE527C" w:rsidP="00E47DAE">
            <w:pPr>
              <w:rPr>
                <w:rFonts w:cs="Arial"/>
                <w:b/>
                <w:bCs/>
              </w:rPr>
            </w:pPr>
            <w:r w:rsidRPr="00BD6097">
              <w:rPr>
                <w:rFonts w:cs="Arial"/>
                <w:b/>
                <w:bCs/>
              </w:rPr>
              <w:t>The Author/Owner of this document is:</w:t>
            </w:r>
          </w:p>
        </w:tc>
        <w:tc>
          <w:tcPr>
            <w:tcW w:w="3229" w:type="dxa"/>
            <w:shd w:val="clear" w:color="auto" w:fill="002D72" w:themeFill="text2"/>
          </w:tcPr>
          <w:p w14:paraId="5CBDCA12" w14:textId="77777777" w:rsidR="00BE527C" w:rsidRPr="00BD6097" w:rsidRDefault="00BE527C" w:rsidP="00E47DAE">
            <w:pPr>
              <w:rPr>
                <w:rFonts w:cs="Arial"/>
                <w:b/>
                <w:bCs/>
              </w:rPr>
            </w:pPr>
            <w:r w:rsidRPr="00BD6097">
              <w:rPr>
                <w:rFonts w:cs="Arial"/>
                <w:b/>
                <w:bCs/>
              </w:rPr>
              <w:t>This document has been approved for issue by:</w:t>
            </w:r>
          </w:p>
        </w:tc>
        <w:tc>
          <w:tcPr>
            <w:tcW w:w="1951" w:type="dxa"/>
            <w:shd w:val="clear" w:color="auto" w:fill="002D72" w:themeFill="text2"/>
          </w:tcPr>
          <w:p w14:paraId="77FDF92A" w14:textId="77777777" w:rsidR="00BE527C" w:rsidRPr="00BD6097" w:rsidRDefault="00BE527C" w:rsidP="00E47DAE">
            <w:pPr>
              <w:rPr>
                <w:rFonts w:cs="Arial"/>
                <w:b/>
                <w:bCs/>
              </w:rPr>
            </w:pPr>
            <w:r w:rsidRPr="00BD6097">
              <w:rPr>
                <w:rFonts w:cs="Arial"/>
                <w:b/>
                <w:bCs/>
              </w:rPr>
              <w:t>Date of Issue:</w:t>
            </w:r>
          </w:p>
        </w:tc>
        <w:tc>
          <w:tcPr>
            <w:tcW w:w="1965" w:type="dxa"/>
            <w:shd w:val="clear" w:color="auto" w:fill="002D72" w:themeFill="text2"/>
          </w:tcPr>
          <w:p w14:paraId="654CBE49" w14:textId="77777777" w:rsidR="00BE527C" w:rsidRPr="00BD6097" w:rsidRDefault="00BE527C" w:rsidP="00E47DAE">
            <w:pPr>
              <w:rPr>
                <w:rFonts w:cs="Arial"/>
                <w:b/>
                <w:bCs/>
              </w:rPr>
            </w:pPr>
            <w:r w:rsidRPr="00BD6097">
              <w:rPr>
                <w:rFonts w:cs="Arial"/>
                <w:b/>
                <w:bCs/>
              </w:rPr>
              <w:t>Review Date:</w:t>
            </w:r>
          </w:p>
        </w:tc>
      </w:tr>
      <w:tr w:rsidR="003B0B45" w:rsidRPr="00BD6097" w14:paraId="7FBBBEDC" w14:textId="77777777" w:rsidTr="68B0D3D2">
        <w:trPr>
          <w:trHeight w:val="465"/>
          <w:jc w:val="center"/>
        </w:trPr>
        <w:tc>
          <w:tcPr>
            <w:tcW w:w="3063" w:type="dxa"/>
            <w:vAlign w:val="center"/>
          </w:tcPr>
          <w:p w14:paraId="7144886F" w14:textId="77777777" w:rsidR="00BE527C" w:rsidRPr="00BD6097" w:rsidRDefault="00BE527C" w:rsidP="00E47DAE">
            <w:pPr>
              <w:rPr>
                <w:rFonts w:cs="Arial"/>
              </w:rPr>
            </w:pPr>
            <w:r>
              <w:rPr>
                <w:rFonts w:cs="Arial"/>
              </w:rPr>
              <w:t>SSE plc Board</w:t>
            </w:r>
          </w:p>
        </w:tc>
        <w:tc>
          <w:tcPr>
            <w:tcW w:w="3229" w:type="dxa"/>
            <w:vAlign w:val="center"/>
          </w:tcPr>
          <w:p w14:paraId="6D32EBCE" w14:textId="77777777" w:rsidR="00BE527C" w:rsidRPr="00BD6097" w:rsidRDefault="00BE527C" w:rsidP="00E47DAE">
            <w:pPr>
              <w:rPr>
                <w:rFonts w:cs="Arial"/>
              </w:rPr>
            </w:pPr>
            <w:r>
              <w:rPr>
                <w:rFonts w:cs="Arial"/>
              </w:rPr>
              <w:t xml:space="preserve">SSE plc Board </w:t>
            </w:r>
          </w:p>
        </w:tc>
        <w:tc>
          <w:tcPr>
            <w:tcW w:w="1951" w:type="dxa"/>
            <w:vAlign w:val="center"/>
          </w:tcPr>
          <w:p w14:paraId="558D23D0" w14:textId="77775FCB" w:rsidR="00BE527C" w:rsidRPr="00BD6097" w:rsidRDefault="009E7020" w:rsidP="00E47DAE">
            <w:pPr>
              <w:rPr>
                <w:rFonts w:cs="Arial"/>
              </w:rPr>
            </w:pPr>
            <w:r>
              <w:rPr>
                <w:rFonts w:cs="Arial"/>
              </w:rPr>
              <w:t>January 2025</w:t>
            </w:r>
            <w:r w:rsidR="00721074">
              <w:rPr>
                <w:rFonts w:cs="Arial"/>
              </w:rPr>
              <w:t xml:space="preserve"> </w:t>
            </w:r>
          </w:p>
        </w:tc>
        <w:tc>
          <w:tcPr>
            <w:tcW w:w="1965" w:type="dxa"/>
            <w:vAlign w:val="center"/>
          </w:tcPr>
          <w:p w14:paraId="22A3C4A5" w14:textId="25515AAD" w:rsidR="00BE527C" w:rsidRPr="00BD6097" w:rsidRDefault="003B0B45" w:rsidP="00E47DAE">
            <w:pPr>
              <w:rPr>
                <w:rFonts w:cs="Arial"/>
              </w:rPr>
            </w:pPr>
            <w:r>
              <w:rPr>
                <w:rFonts w:cs="Arial"/>
              </w:rPr>
              <w:t>January 2026</w:t>
            </w:r>
          </w:p>
        </w:tc>
      </w:tr>
    </w:tbl>
    <w:p w14:paraId="609604B7" w14:textId="77777777" w:rsidR="00BE527C" w:rsidRDefault="00BE527C" w:rsidP="00281200">
      <w:pPr>
        <w:pStyle w:val="Heading1"/>
        <w:numPr>
          <w:ilvl w:val="0"/>
          <w:numId w:val="21"/>
        </w:numPr>
        <w:tabs>
          <w:tab w:val="num" w:pos="567"/>
        </w:tabs>
        <w:rPr>
          <w:color w:val="002D72"/>
        </w:rPr>
      </w:pPr>
      <w:bookmarkStart w:id="0" w:name="_Toc388622158"/>
      <w:r>
        <w:rPr>
          <w:color w:val="002D72"/>
        </w:rPr>
        <w:t xml:space="preserve">Introduction </w:t>
      </w:r>
    </w:p>
    <w:p w14:paraId="763FD7FD" w14:textId="77777777" w:rsidR="00BE527C" w:rsidRPr="005E68FA" w:rsidRDefault="00BE527C" w:rsidP="00BE527C">
      <w:pPr>
        <w:jc w:val="both"/>
        <w:rPr>
          <w:rFonts w:cs="Arial"/>
          <w:b/>
          <w:szCs w:val="28"/>
        </w:rPr>
      </w:pPr>
      <w:r w:rsidRPr="005E68FA">
        <w:rPr>
          <w:rFonts w:cs="Arial"/>
          <w:szCs w:val="28"/>
        </w:rPr>
        <w:t xml:space="preserve">The role of the Board is to provide effective </w:t>
      </w:r>
      <w:r>
        <w:rPr>
          <w:rFonts w:cs="Arial"/>
          <w:szCs w:val="28"/>
        </w:rPr>
        <w:t xml:space="preserve">and </w:t>
      </w:r>
      <w:r w:rsidRPr="005E68FA">
        <w:rPr>
          <w:rFonts w:cs="Arial"/>
          <w:szCs w:val="28"/>
        </w:rPr>
        <w:t>entrepreneurial leadership</w:t>
      </w:r>
      <w:r>
        <w:rPr>
          <w:rFonts w:cs="Arial"/>
          <w:szCs w:val="28"/>
        </w:rPr>
        <w:t xml:space="preserve">, and to </w:t>
      </w:r>
      <w:r w:rsidRPr="005E68FA">
        <w:rPr>
          <w:rFonts w:cs="Arial"/>
          <w:szCs w:val="28"/>
        </w:rPr>
        <w:t>promot</w:t>
      </w:r>
      <w:r>
        <w:rPr>
          <w:rFonts w:cs="Arial"/>
          <w:szCs w:val="28"/>
        </w:rPr>
        <w:t>e</w:t>
      </w:r>
      <w:r w:rsidRPr="005E68FA">
        <w:rPr>
          <w:rFonts w:cs="Arial"/>
          <w:szCs w:val="28"/>
        </w:rPr>
        <w:t xml:space="preserve"> the long-term sustainable success of </w:t>
      </w:r>
      <w:r>
        <w:rPr>
          <w:rFonts w:cs="Arial"/>
          <w:szCs w:val="28"/>
        </w:rPr>
        <w:t>SSE plc (the Company) and its group of companies (together the Group)</w:t>
      </w:r>
      <w:r w:rsidRPr="005E68FA">
        <w:rPr>
          <w:rFonts w:cs="Arial"/>
          <w:szCs w:val="28"/>
        </w:rPr>
        <w:t xml:space="preserve">, whilst generating value for </w:t>
      </w:r>
      <w:r>
        <w:rPr>
          <w:rFonts w:cs="Arial"/>
          <w:szCs w:val="28"/>
        </w:rPr>
        <w:t>s</w:t>
      </w:r>
      <w:r w:rsidRPr="005E68FA">
        <w:rPr>
          <w:rFonts w:cs="Arial"/>
          <w:szCs w:val="28"/>
        </w:rPr>
        <w:t>hareholders</w:t>
      </w:r>
      <w:r>
        <w:rPr>
          <w:rFonts w:cs="Arial"/>
          <w:szCs w:val="28"/>
        </w:rPr>
        <w:t xml:space="preserve"> and contributing to wider society. </w:t>
      </w:r>
      <w:r w:rsidRPr="005E68FA">
        <w:rPr>
          <w:rFonts w:cs="Arial"/>
          <w:szCs w:val="28"/>
        </w:rPr>
        <w:t xml:space="preserve">An effective Board develops and promotes its collective vision of the Company’s purpose, </w:t>
      </w:r>
      <w:r>
        <w:rPr>
          <w:rFonts w:cs="Arial"/>
          <w:szCs w:val="28"/>
        </w:rPr>
        <w:t xml:space="preserve">strategy, vision, </w:t>
      </w:r>
      <w:r w:rsidRPr="005E68FA">
        <w:rPr>
          <w:rFonts w:cs="Arial"/>
          <w:szCs w:val="28"/>
        </w:rPr>
        <w:t>values,</w:t>
      </w:r>
      <w:r>
        <w:rPr>
          <w:rFonts w:cs="Arial"/>
          <w:szCs w:val="28"/>
        </w:rPr>
        <w:t xml:space="preserve"> c</w:t>
      </w:r>
      <w:r w:rsidRPr="005E68FA">
        <w:rPr>
          <w:rFonts w:cs="Arial"/>
          <w:szCs w:val="28"/>
        </w:rPr>
        <w:t>ulture</w:t>
      </w:r>
      <w:r>
        <w:rPr>
          <w:rFonts w:cs="Arial"/>
          <w:szCs w:val="28"/>
        </w:rPr>
        <w:t>,</w:t>
      </w:r>
      <w:r w:rsidRPr="005E68FA">
        <w:rPr>
          <w:rFonts w:cs="Arial"/>
          <w:szCs w:val="28"/>
        </w:rPr>
        <w:t xml:space="preserve"> and the behaviours it wishes to promote in conducting its business.</w:t>
      </w:r>
    </w:p>
    <w:p w14:paraId="0A4DFA40" w14:textId="77777777" w:rsidR="00BE527C" w:rsidRDefault="00BE527C" w:rsidP="00BE527C">
      <w:pPr>
        <w:rPr>
          <w:rFonts w:cs="Arial"/>
          <w:szCs w:val="28"/>
        </w:rPr>
      </w:pPr>
      <w:r w:rsidRPr="005E68FA">
        <w:rPr>
          <w:rFonts w:cs="Arial"/>
          <w:szCs w:val="28"/>
        </w:rPr>
        <w:t xml:space="preserve">This document sets out the Schedule of Reserved Matters for the Board of SSE plc for its determination or delegation (subject to shareholder approval where appropriate). </w:t>
      </w:r>
    </w:p>
    <w:p w14:paraId="6C862E1B" w14:textId="626C3F38" w:rsidR="00BE527C" w:rsidRPr="00486995" w:rsidRDefault="00BE527C" w:rsidP="00281200">
      <w:pPr>
        <w:pStyle w:val="Heading1"/>
        <w:numPr>
          <w:ilvl w:val="0"/>
          <w:numId w:val="21"/>
        </w:numPr>
      </w:pPr>
      <w:r>
        <w:t>Directors’ Duties</w:t>
      </w:r>
    </w:p>
    <w:p w14:paraId="72A3BF3C" w14:textId="571FB4EB" w:rsidR="00BE527C" w:rsidRPr="005E68FA" w:rsidRDefault="00BE527C" w:rsidP="00BE527C">
      <w:pPr>
        <w:jc w:val="both"/>
        <w:rPr>
          <w:rFonts w:cs="Arial"/>
          <w:szCs w:val="28"/>
          <w:lang w:eastAsia="en-GB"/>
        </w:rPr>
      </w:pPr>
      <w:r w:rsidRPr="005E68FA">
        <w:rPr>
          <w:rFonts w:cs="Arial"/>
          <w:szCs w:val="28"/>
          <w:lang w:val="en"/>
        </w:rPr>
        <w:t xml:space="preserve">In discharging their duties, the </w:t>
      </w:r>
      <w:r>
        <w:rPr>
          <w:rFonts w:cs="Arial"/>
          <w:szCs w:val="28"/>
          <w:lang w:val="en"/>
        </w:rPr>
        <w:t>D</w:t>
      </w:r>
      <w:r w:rsidRPr="005E68FA">
        <w:rPr>
          <w:rFonts w:cs="Arial"/>
          <w:szCs w:val="28"/>
          <w:lang w:val="en"/>
        </w:rPr>
        <w:t>irectors shall have due regard to their legal and regulatory obligations.</w:t>
      </w:r>
      <w:r w:rsidRPr="005E68FA">
        <w:rPr>
          <w:rFonts w:cs="Arial"/>
          <w:color w:val="44546A"/>
          <w:szCs w:val="28"/>
          <w:lang w:val="en"/>
        </w:rPr>
        <w:t xml:space="preserve"> </w:t>
      </w:r>
      <w:r w:rsidRPr="005E68FA">
        <w:rPr>
          <w:rFonts w:cs="Arial"/>
          <w:szCs w:val="28"/>
        </w:rPr>
        <w:t>Th</w:t>
      </w:r>
      <w:r>
        <w:rPr>
          <w:rFonts w:cs="Arial"/>
          <w:szCs w:val="28"/>
        </w:rPr>
        <w:t>is includes</w:t>
      </w:r>
      <w:r w:rsidRPr="005E68FA">
        <w:rPr>
          <w:rFonts w:cs="Arial"/>
          <w:szCs w:val="28"/>
        </w:rPr>
        <w:t xml:space="preserve"> the requirements of Section 172 of the Companies Act 2006</w:t>
      </w:r>
      <w:r>
        <w:rPr>
          <w:rFonts w:cs="Arial"/>
          <w:szCs w:val="28"/>
        </w:rPr>
        <w:t>,</w:t>
      </w:r>
      <w:r w:rsidRPr="005E68FA">
        <w:rPr>
          <w:rFonts w:cs="Arial"/>
          <w:szCs w:val="28"/>
        </w:rPr>
        <w:t xml:space="preserve"> </w:t>
      </w:r>
      <w:r w:rsidRPr="005E68FA">
        <w:rPr>
          <w:rFonts w:cs="Arial"/>
          <w:szCs w:val="28"/>
          <w:lang w:eastAsia="en-GB"/>
        </w:rPr>
        <w:t xml:space="preserve">acting in the way they consider, in good faith, would be most likely to promote the success of the company for the benefit of the Company’s </w:t>
      </w:r>
      <w:proofErr w:type="gramStart"/>
      <w:r w:rsidRPr="005E68FA">
        <w:rPr>
          <w:rFonts w:cs="Arial"/>
          <w:szCs w:val="28"/>
          <w:lang w:eastAsia="en-GB"/>
        </w:rPr>
        <w:t>members as a whole, and</w:t>
      </w:r>
      <w:proofErr w:type="gramEnd"/>
      <w:r w:rsidRPr="005E68FA">
        <w:rPr>
          <w:rFonts w:cs="Arial"/>
          <w:szCs w:val="28"/>
          <w:lang w:eastAsia="en-GB"/>
        </w:rPr>
        <w:t xml:space="preserve"> in doing so have regard (amongst other matters) to</w:t>
      </w:r>
      <w:r w:rsidR="00EC1F45">
        <w:rPr>
          <w:rFonts w:cs="Arial"/>
          <w:szCs w:val="28"/>
          <w:lang w:eastAsia="en-GB"/>
        </w:rPr>
        <w:t>:</w:t>
      </w:r>
    </w:p>
    <w:p w14:paraId="0EEC63B3" w14:textId="3CD607E4" w:rsidR="00BE527C" w:rsidRPr="005E68FA" w:rsidRDefault="00BE527C" w:rsidP="00BE527C">
      <w:pPr>
        <w:jc w:val="both"/>
        <w:rPr>
          <w:rFonts w:cs="Arial"/>
          <w:szCs w:val="28"/>
          <w:lang w:eastAsia="en-GB"/>
        </w:rPr>
      </w:pPr>
      <w:r w:rsidRPr="005E68FA">
        <w:rPr>
          <w:rFonts w:cs="Arial"/>
          <w:szCs w:val="28"/>
          <w:lang w:eastAsia="en-GB"/>
        </w:rPr>
        <w:t xml:space="preserve">(a) the likely consequences of any decision in the long </w:t>
      </w:r>
      <w:proofErr w:type="gramStart"/>
      <w:r w:rsidRPr="005E68FA">
        <w:rPr>
          <w:rFonts w:cs="Arial"/>
          <w:szCs w:val="28"/>
          <w:lang w:eastAsia="en-GB"/>
        </w:rPr>
        <w:t>term</w:t>
      </w:r>
      <w:r w:rsidR="00EC1F45">
        <w:rPr>
          <w:rFonts w:cs="Arial"/>
          <w:szCs w:val="28"/>
          <w:lang w:eastAsia="en-GB"/>
        </w:rPr>
        <w:t>;</w:t>
      </w:r>
      <w:proofErr w:type="gramEnd"/>
    </w:p>
    <w:p w14:paraId="1DB98A18" w14:textId="72AB0B97" w:rsidR="00BE527C" w:rsidRPr="005E68FA" w:rsidRDefault="00BE527C" w:rsidP="00BE527C">
      <w:pPr>
        <w:jc w:val="both"/>
        <w:rPr>
          <w:rFonts w:cs="Arial"/>
          <w:szCs w:val="28"/>
          <w:lang w:eastAsia="en-GB"/>
        </w:rPr>
      </w:pPr>
      <w:r w:rsidRPr="005E68FA">
        <w:rPr>
          <w:rFonts w:cs="Arial"/>
          <w:szCs w:val="28"/>
          <w:lang w:eastAsia="en-GB"/>
        </w:rPr>
        <w:t xml:space="preserve">(b) the interests of the company's </w:t>
      </w:r>
      <w:proofErr w:type="gramStart"/>
      <w:r w:rsidRPr="005E68FA">
        <w:rPr>
          <w:rFonts w:cs="Arial"/>
          <w:szCs w:val="28"/>
          <w:lang w:eastAsia="en-GB"/>
        </w:rPr>
        <w:t>employees</w:t>
      </w:r>
      <w:r w:rsidR="00EC1F45">
        <w:rPr>
          <w:rFonts w:cs="Arial"/>
          <w:szCs w:val="28"/>
          <w:lang w:eastAsia="en-GB"/>
        </w:rPr>
        <w:t>;</w:t>
      </w:r>
      <w:proofErr w:type="gramEnd"/>
    </w:p>
    <w:p w14:paraId="71F379CE" w14:textId="40D364ED" w:rsidR="00BE527C" w:rsidRPr="005E68FA" w:rsidRDefault="00BE527C" w:rsidP="00BE527C">
      <w:pPr>
        <w:jc w:val="both"/>
        <w:rPr>
          <w:rFonts w:cs="Arial"/>
          <w:szCs w:val="28"/>
          <w:lang w:eastAsia="en-GB"/>
        </w:rPr>
      </w:pPr>
      <w:r w:rsidRPr="005E68FA">
        <w:rPr>
          <w:rFonts w:cs="Arial"/>
          <w:szCs w:val="28"/>
          <w:lang w:eastAsia="en-GB"/>
        </w:rPr>
        <w:t xml:space="preserve">(c) the need to foster the company's business relationships with suppliers, customers and </w:t>
      </w:r>
      <w:proofErr w:type="gramStart"/>
      <w:r w:rsidRPr="005E68FA">
        <w:rPr>
          <w:rFonts w:cs="Arial"/>
          <w:szCs w:val="28"/>
          <w:lang w:eastAsia="en-GB"/>
        </w:rPr>
        <w:t>others</w:t>
      </w:r>
      <w:r w:rsidR="00EC1F45">
        <w:rPr>
          <w:rFonts w:cs="Arial"/>
          <w:szCs w:val="28"/>
          <w:lang w:eastAsia="en-GB"/>
        </w:rPr>
        <w:t>;</w:t>
      </w:r>
      <w:proofErr w:type="gramEnd"/>
    </w:p>
    <w:p w14:paraId="2494D1CB" w14:textId="3D2A2CAD" w:rsidR="00BE527C" w:rsidRPr="005E68FA" w:rsidRDefault="00BE527C" w:rsidP="00BE527C">
      <w:pPr>
        <w:jc w:val="both"/>
        <w:rPr>
          <w:rFonts w:cs="Arial"/>
          <w:szCs w:val="28"/>
          <w:lang w:eastAsia="en-GB"/>
        </w:rPr>
      </w:pPr>
      <w:r w:rsidRPr="005E68FA">
        <w:rPr>
          <w:rFonts w:cs="Arial"/>
          <w:szCs w:val="28"/>
          <w:lang w:eastAsia="en-GB"/>
        </w:rPr>
        <w:t xml:space="preserve">(d) the impact of the company's operations on the community and the </w:t>
      </w:r>
      <w:proofErr w:type="gramStart"/>
      <w:r w:rsidRPr="005E68FA">
        <w:rPr>
          <w:rFonts w:cs="Arial"/>
          <w:szCs w:val="28"/>
          <w:lang w:eastAsia="en-GB"/>
        </w:rPr>
        <w:t>environment</w:t>
      </w:r>
      <w:r w:rsidR="00EC1F45">
        <w:rPr>
          <w:rFonts w:cs="Arial"/>
          <w:szCs w:val="28"/>
          <w:lang w:eastAsia="en-GB"/>
        </w:rPr>
        <w:t>;</w:t>
      </w:r>
      <w:proofErr w:type="gramEnd"/>
    </w:p>
    <w:p w14:paraId="7C411942" w14:textId="77777777" w:rsidR="00BE527C" w:rsidRPr="005E68FA" w:rsidRDefault="00BE527C" w:rsidP="00BE527C">
      <w:pPr>
        <w:jc w:val="both"/>
        <w:rPr>
          <w:rFonts w:cs="Arial"/>
          <w:szCs w:val="28"/>
          <w:lang w:eastAsia="en-GB"/>
        </w:rPr>
      </w:pPr>
      <w:r w:rsidRPr="005E68FA">
        <w:rPr>
          <w:rFonts w:cs="Arial"/>
          <w:szCs w:val="28"/>
          <w:lang w:eastAsia="en-GB"/>
        </w:rPr>
        <w:t>(e) the desirability of the company maintaining a reputation for high standards of business conduct, and</w:t>
      </w:r>
    </w:p>
    <w:p w14:paraId="6872E1E0" w14:textId="77777777" w:rsidR="00BE527C" w:rsidRDefault="00BE527C" w:rsidP="00BE527C">
      <w:pPr>
        <w:jc w:val="both"/>
        <w:rPr>
          <w:rFonts w:cs="Arial"/>
          <w:szCs w:val="28"/>
          <w:lang w:eastAsia="en-GB"/>
        </w:rPr>
      </w:pPr>
      <w:r w:rsidRPr="005E68FA">
        <w:rPr>
          <w:rFonts w:cs="Arial"/>
          <w:szCs w:val="28"/>
          <w:lang w:eastAsia="en-GB"/>
        </w:rPr>
        <w:t xml:space="preserve">(f) the need to act </w:t>
      </w:r>
      <w:proofErr w:type="gramStart"/>
      <w:r w:rsidRPr="005E68FA">
        <w:rPr>
          <w:rFonts w:cs="Arial"/>
          <w:szCs w:val="28"/>
          <w:lang w:eastAsia="en-GB"/>
        </w:rPr>
        <w:t>fairly as</w:t>
      </w:r>
      <w:proofErr w:type="gramEnd"/>
      <w:r w:rsidRPr="005E68FA">
        <w:rPr>
          <w:rFonts w:cs="Arial"/>
          <w:szCs w:val="28"/>
          <w:lang w:eastAsia="en-GB"/>
        </w:rPr>
        <w:t xml:space="preserve"> between members of the company.</w:t>
      </w:r>
    </w:p>
    <w:p w14:paraId="1A50339B" w14:textId="77777777" w:rsidR="00BE527C" w:rsidRDefault="00BE527C" w:rsidP="00281200">
      <w:pPr>
        <w:pStyle w:val="Heading1"/>
        <w:numPr>
          <w:ilvl w:val="0"/>
          <w:numId w:val="21"/>
        </w:numPr>
        <w:rPr>
          <w:lang w:eastAsia="en-GB"/>
        </w:rPr>
      </w:pPr>
      <w:r>
        <w:rPr>
          <w:lang w:eastAsia="en-GB"/>
        </w:rPr>
        <w:t xml:space="preserve">Strategy and management </w:t>
      </w:r>
    </w:p>
    <w:p w14:paraId="5C4E8604" w14:textId="77777777" w:rsidR="00DF0ABF" w:rsidRPr="00DF0ABF" w:rsidRDefault="00DF0ABF" w:rsidP="00DF0ABF">
      <w:pPr>
        <w:pStyle w:val="ListParagraph"/>
        <w:widowControl w:val="0"/>
        <w:numPr>
          <w:ilvl w:val="0"/>
          <w:numId w:val="13"/>
        </w:numPr>
        <w:spacing w:after="120" w:line="276" w:lineRule="auto"/>
        <w:contextualSpacing w:val="0"/>
        <w:jc w:val="both"/>
        <w:rPr>
          <w:rFonts w:cs="Arial"/>
          <w:vanish/>
        </w:rPr>
      </w:pPr>
    </w:p>
    <w:p w14:paraId="5DB8885A" w14:textId="77777777" w:rsidR="00DF0ABF" w:rsidRPr="00DF0ABF" w:rsidRDefault="00DF0ABF" w:rsidP="00DF0ABF">
      <w:pPr>
        <w:pStyle w:val="ListParagraph"/>
        <w:widowControl w:val="0"/>
        <w:numPr>
          <w:ilvl w:val="0"/>
          <w:numId w:val="13"/>
        </w:numPr>
        <w:spacing w:after="120" w:line="276" w:lineRule="auto"/>
        <w:contextualSpacing w:val="0"/>
        <w:jc w:val="both"/>
        <w:rPr>
          <w:rFonts w:cs="Arial"/>
          <w:vanish/>
        </w:rPr>
      </w:pPr>
    </w:p>
    <w:p w14:paraId="2953A1D4" w14:textId="77777777" w:rsidR="00DF0ABF" w:rsidRPr="00DF0ABF" w:rsidRDefault="00DF0ABF" w:rsidP="00DF0ABF">
      <w:pPr>
        <w:pStyle w:val="ListParagraph"/>
        <w:widowControl w:val="0"/>
        <w:numPr>
          <w:ilvl w:val="0"/>
          <w:numId w:val="13"/>
        </w:numPr>
        <w:spacing w:after="120" w:line="276" w:lineRule="auto"/>
        <w:contextualSpacing w:val="0"/>
        <w:jc w:val="both"/>
        <w:rPr>
          <w:rFonts w:cs="Arial"/>
          <w:vanish/>
        </w:rPr>
      </w:pPr>
    </w:p>
    <w:p w14:paraId="15D324B1" w14:textId="0B53CFB2" w:rsidR="00BE527C" w:rsidRPr="00476809" w:rsidRDefault="00BE527C" w:rsidP="00DB42A5">
      <w:pPr>
        <w:widowControl w:val="0"/>
        <w:numPr>
          <w:ilvl w:val="1"/>
          <w:numId w:val="13"/>
        </w:numPr>
        <w:spacing w:after="120" w:line="276" w:lineRule="auto"/>
        <w:ind w:left="0" w:firstLine="0"/>
        <w:jc w:val="both"/>
        <w:rPr>
          <w:rFonts w:cs="Arial"/>
        </w:rPr>
      </w:pPr>
      <w:r w:rsidRPr="00476809">
        <w:rPr>
          <w:rFonts w:cs="Arial"/>
        </w:rPr>
        <w:t xml:space="preserve">Responsibility for the </w:t>
      </w:r>
      <w:r>
        <w:rPr>
          <w:rFonts w:cs="Arial"/>
        </w:rPr>
        <w:t xml:space="preserve">leadership and </w:t>
      </w:r>
      <w:r w:rsidRPr="00476809">
        <w:rPr>
          <w:rFonts w:cs="Arial"/>
        </w:rPr>
        <w:t>overall management of the Group.</w:t>
      </w:r>
    </w:p>
    <w:p w14:paraId="60334DB3"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Approval </w:t>
      </w:r>
      <w:r>
        <w:rPr>
          <w:rFonts w:cs="Arial"/>
        </w:rPr>
        <w:t xml:space="preserve">of the Group’s vision and purpose, </w:t>
      </w:r>
      <w:r w:rsidRPr="00476809">
        <w:rPr>
          <w:rFonts w:cs="Arial"/>
        </w:rPr>
        <w:t>and regular review of the Group’s strategy</w:t>
      </w:r>
      <w:r>
        <w:rPr>
          <w:rFonts w:cs="Arial"/>
        </w:rPr>
        <w:t>, objectives</w:t>
      </w:r>
      <w:r w:rsidRPr="00476809">
        <w:rPr>
          <w:rFonts w:cs="Arial"/>
        </w:rPr>
        <w:t>, business development</w:t>
      </w:r>
      <w:r>
        <w:rPr>
          <w:rFonts w:cs="Arial"/>
        </w:rPr>
        <w:t xml:space="preserve"> </w:t>
      </w:r>
      <w:r w:rsidRPr="00476809">
        <w:rPr>
          <w:rFonts w:cs="Arial"/>
        </w:rPr>
        <w:t>initiatives</w:t>
      </w:r>
      <w:r>
        <w:rPr>
          <w:rFonts w:cs="Arial"/>
        </w:rPr>
        <w:t>,</w:t>
      </w:r>
      <w:r w:rsidRPr="00476809">
        <w:rPr>
          <w:rFonts w:cs="Arial"/>
        </w:rPr>
        <w:t xml:space="preserve"> and long-term strategic options.</w:t>
      </w:r>
    </w:p>
    <w:p w14:paraId="2B38BD19" w14:textId="2998EB4D"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Approval of the annual operating and capital expenditure budgets and any material changes to them.</w:t>
      </w:r>
    </w:p>
    <w:p w14:paraId="3ABB1F3B" w14:textId="77777777" w:rsidR="00BE527C"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Review and approval of priorities surrounding SSE’s principal sustainability impacts including in relation to climate change. </w:t>
      </w:r>
    </w:p>
    <w:p w14:paraId="37A9E849" w14:textId="032CDA0E" w:rsidR="00BE527C" w:rsidRPr="00D9767A" w:rsidRDefault="00BE527C" w:rsidP="00BE527C">
      <w:pPr>
        <w:widowControl w:val="0"/>
        <w:numPr>
          <w:ilvl w:val="1"/>
          <w:numId w:val="13"/>
        </w:numPr>
        <w:spacing w:after="120" w:line="276" w:lineRule="auto"/>
        <w:ind w:left="709" w:hanging="709"/>
        <w:jc w:val="both"/>
        <w:rPr>
          <w:rFonts w:cs="Arial"/>
        </w:rPr>
      </w:pPr>
      <w:r w:rsidRPr="00D9767A">
        <w:rPr>
          <w:rFonts w:cs="Arial"/>
        </w:rPr>
        <w:lastRenderedPageBreak/>
        <w:t>Approval of the electricity distribution and transmission price control reviews proposed by Ofgem</w:t>
      </w:r>
      <w:r w:rsidR="00924688">
        <w:rPr>
          <w:rFonts w:cs="Arial"/>
        </w:rPr>
        <w:t xml:space="preserve"> </w:t>
      </w:r>
      <w:r w:rsidR="00924688" w:rsidRPr="00924688">
        <w:rPr>
          <w:rFonts w:cs="Arial"/>
        </w:rPr>
        <w:t>and any regulatory commitment to material investments such as the Accelerated Strategic Transmission Investment (ASTI) or similar</w:t>
      </w:r>
      <w:r w:rsidRPr="00D9767A">
        <w:rPr>
          <w:rFonts w:cs="Arial"/>
        </w:rPr>
        <w:t>.</w:t>
      </w:r>
    </w:p>
    <w:p w14:paraId="0C4107CC" w14:textId="77777777" w:rsidR="00BE527C" w:rsidRDefault="00BE527C" w:rsidP="00BE527C">
      <w:pPr>
        <w:widowControl w:val="0"/>
        <w:numPr>
          <w:ilvl w:val="1"/>
          <w:numId w:val="13"/>
        </w:numPr>
        <w:spacing w:after="120" w:line="276" w:lineRule="auto"/>
        <w:ind w:left="709" w:hanging="709"/>
        <w:rPr>
          <w:rFonts w:cs="Arial"/>
        </w:rPr>
      </w:pPr>
      <w:r w:rsidRPr="00476809">
        <w:rPr>
          <w:rFonts w:cs="Arial"/>
        </w:rPr>
        <w:t xml:space="preserve">Review of performance </w:t>
      </w:r>
      <w:proofErr w:type="gramStart"/>
      <w:r w:rsidRPr="00476809">
        <w:rPr>
          <w:rFonts w:cs="Arial"/>
        </w:rPr>
        <w:t>in light of</w:t>
      </w:r>
      <w:proofErr w:type="gramEnd"/>
      <w:r w:rsidRPr="00476809">
        <w:rPr>
          <w:rFonts w:cs="Arial"/>
        </w:rPr>
        <w:t xml:space="preserve"> the Group’s strategy, objectives, business plans</w:t>
      </w:r>
      <w:r>
        <w:rPr>
          <w:rFonts w:cs="Arial"/>
        </w:rPr>
        <w:t>, sustainability impacts</w:t>
      </w:r>
      <w:r w:rsidRPr="00476809">
        <w:rPr>
          <w:rFonts w:cs="Arial"/>
        </w:rPr>
        <w:t xml:space="preserve"> and budgets</w:t>
      </w:r>
      <w:r>
        <w:rPr>
          <w:rFonts w:cs="Arial"/>
        </w:rPr>
        <w:t>,</w:t>
      </w:r>
      <w:r w:rsidRPr="00476809">
        <w:rPr>
          <w:rFonts w:cs="Arial"/>
        </w:rPr>
        <w:t xml:space="preserve"> and ensuring that any necessary corrective action is taken.</w:t>
      </w:r>
    </w:p>
    <w:p w14:paraId="3BD39706" w14:textId="77777777" w:rsidR="00E912C3" w:rsidRDefault="00BE527C" w:rsidP="00E912C3">
      <w:pPr>
        <w:widowControl w:val="0"/>
        <w:numPr>
          <w:ilvl w:val="1"/>
          <w:numId w:val="13"/>
        </w:numPr>
        <w:spacing w:after="120" w:line="276" w:lineRule="auto"/>
        <w:ind w:left="709" w:hanging="709"/>
        <w:rPr>
          <w:rFonts w:cs="Arial"/>
        </w:rPr>
      </w:pPr>
      <w:bookmarkStart w:id="1" w:name="_Hlk145927125"/>
      <w:r>
        <w:rPr>
          <w:rFonts w:cs="Arial"/>
        </w:rPr>
        <w:t xml:space="preserve">Oversight of the Group’s compliance with its applicable statutory and regulatory obligations. </w:t>
      </w:r>
    </w:p>
    <w:p w14:paraId="024ED4CD" w14:textId="65BA6FA9" w:rsidR="00BE527C" w:rsidRPr="00E912C3" w:rsidRDefault="00E912C3" w:rsidP="00E912C3">
      <w:pPr>
        <w:widowControl w:val="0"/>
        <w:numPr>
          <w:ilvl w:val="1"/>
          <w:numId w:val="13"/>
        </w:numPr>
        <w:spacing w:after="120" w:line="276" w:lineRule="auto"/>
        <w:ind w:left="709" w:hanging="709"/>
        <w:rPr>
          <w:rFonts w:cs="Arial"/>
        </w:rPr>
      </w:pPr>
      <w:r>
        <w:rPr>
          <w:rFonts w:cs="Arial"/>
        </w:rPr>
        <w:t xml:space="preserve">Oversight </w:t>
      </w:r>
      <w:r w:rsidR="00295FA4">
        <w:rPr>
          <w:rFonts w:cs="Arial"/>
        </w:rPr>
        <w:t xml:space="preserve">of </w:t>
      </w:r>
      <w:r w:rsidR="00966550">
        <w:rPr>
          <w:rFonts w:cs="Arial"/>
        </w:rPr>
        <w:t xml:space="preserve">the Group’s Digital Strategy, including matters related to </w:t>
      </w:r>
      <w:r w:rsidR="00295FA4">
        <w:rPr>
          <w:rFonts w:cs="Arial"/>
        </w:rPr>
        <w:t xml:space="preserve">cyber </w:t>
      </w:r>
      <w:r w:rsidR="00966550">
        <w:rPr>
          <w:rFonts w:cs="Arial"/>
        </w:rPr>
        <w:t>security</w:t>
      </w:r>
      <w:r w:rsidR="00295FA4">
        <w:rPr>
          <w:rFonts w:cs="Arial"/>
        </w:rPr>
        <w:t xml:space="preserve"> and </w:t>
      </w:r>
      <w:r w:rsidR="00966550">
        <w:rPr>
          <w:rFonts w:cs="Arial"/>
        </w:rPr>
        <w:t>Artificial Intelligence (AI)</w:t>
      </w:r>
      <w:r w:rsidR="00295FA4">
        <w:rPr>
          <w:rFonts w:cs="Arial"/>
        </w:rPr>
        <w:t xml:space="preserve">. </w:t>
      </w:r>
      <w:r w:rsidR="00BE527C" w:rsidRPr="00E912C3">
        <w:rPr>
          <w:rFonts w:cs="Arial"/>
        </w:rPr>
        <w:t xml:space="preserve"> </w:t>
      </w:r>
    </w:p>
    <w:p w14:paraId="25465ECB" w14:textId="77777777" w:rsidR="00BE527C" w:rsidRPr="00476809" w:rsidRDefault="00BE527C" w:rsidP="00BE527C">
      <w:pPr>
        <w:widowControl w:val="0"/>
        <w:numPr>
          <w:ilvl w:val="1"/>
          <w:numId w:val="13"/>
        </w:numPr>
        <w:spacing w:after="120" w:line="276" w:lineRule="auto"/>
        <w:ind w:left="709" w:hanging="709"/>
        <w:rPr>
          <w:rFonts w:cs="Arial"/>
        </w:rPr>
      </w:pPr>
      <w:r w:rsidRPr="00476809">
        <w:rPr>
          <w:rFonts w:cs="Arial"/>
        </w:rPr>
        <w:t xml:space="preserve">Approval of the </w:t>
      </w:r>
      <w:r w:rsidRPr="00627251">
        <w:rPr>
          <w:rFonts w:cs="Arial"/>
        </w:rPr>
        <w:t xml:space="preserve">material </w:t>
      </w:r>
      <w:r w:rsidRPr="00476809">
        <w:rPr>
          <w:rFonts w:cs="Arial"/>
        </w:rPr>
        <w:t>extension of the Group’s activities into new business or geographic areas.</w:t>
      </w:r>
    </w:p>
    <w:bookmarkEnd w:id="1"/>
    <w:p w14:paraId="17AF4C92" w14:textId="77777777" w:rsidR="00BE527C" w:rsidRDefault="00BE527C" w:rsidP="00BE527C">
      <w:pPr>
        <w:widowControl w:val="0"/>
        <w:numPr>
          <w:ilvl w:val="1"/>
          <w:numId w:val="13"/>
        </w:numPr>
        <w:spacing w:after="120" w:line="276" w:lineRule="auto"/>
        <w:ind w:left="709" w:hanging="709"/>
        <w:rPr>
          <w:rFonts w:cs="Arial"/>
        </w:rPr>
      </w:pPr>
      <w:r w:rsidRPr="00476809">
        <w:rPr>
          <w:rFonts w:cs="Arial"/>
        </w:rPr>
        <w:t>Approval of any proposal to cease to operate all or any material part of the Group’s business.</w:t>
      </w:r>
    </w:p>
    <w:p w14:paraId="3B1937B5" w14:textId="77777777" w:rsidR="00BE527C" w:rsidRDefault="00BE527C" w:rsidP="00757654">
      <w:pPr>
        <w:pStyle w:val="Heading1"/>
        <w:numPr>
          <w:ilvl w:val="0"/>
          <w:numId w:val="21"/>
        </w:numPr>
        <w:rPr>
          <w:lang w:eastAsia="en-GB"/>
        </w:rPr>
      </w:pPr>
      <w:r>
        <w:rPr>
          <w:lang w:eastAsia="en-GB"/>
        </w:rPr>
        <w:t xml:space="preserve">Financial management and reporting </w:t>
      </w:r>
    </w:p>
    <w:p w14:paraId="517AFD35" w14:textId="77777777" w:rsidR="00BE527C" w:rsidRPr="002317C9" w:rsidRDefault="00BE527C" w:rsidP="00BE527C">
      <w:pPr>
        <w:pStyle w:val="ListParagraph"/>
        <w:widowControl w:val="0"/>
        <w:numPr>
          <w:ilvl w:val="0"/>
          <w:numId w:val="13"/>
        </w:numPr>
        <w:spacing w:after="120" w:line="276" w:lineRule="auto"/>
        <w:contextualSpacing w:val="0"/>
        <w:jc w:val="both"/>
        <w:rPr>
          <w:rFonts w:cs="Arial"/>
          <w:vanish/>
        </w:rPr>
      </w:pPr>
    </w:p>
    <w:p w14:paraId="7650CE04"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Approval of the</w:t>
      </w:r>
      <w:r>
        <w:rPr>
          <w:rFonts w:cs="Arial"/>
        </w:rPr>
        <w:t xml:space="preserve"> </w:t>
      </w:r>
      <w:r w:rsidRPr="00476809">
        <w:rPr>
          <w:rFonts w:cs="Arial"/>
        </w:rPr>
        <w:t xml:space="preserve">interim and </w:t>
      </w:r>
      <w:r>
        <w:rPr>
          <w:rFonts w:cs="Arial"/>
        </w:rPr>
        <w:t xml:space="preserve">full-year </w:t>
      </w:r>
      <w:r w:rsidRPr="00476809">
        <w:rPr>
          <w:rFonts w:cs="Arial"/>
        </w:rPr>
        <w:t>fina</w:t>
      </w:r>
      <w:r>
        <w:rPr>
          <w:rFonts w:cs="Arial"/>
        </w:rPr>
        <w:t>ncia</w:t>
      </w:r>
      <w:r w:rsidRPr="00476809">
        <w:rPr>
          <w:rFonts w:cs="Arial"/>
        </w:rPr>
        <w:t>l results and interim management statements, following recommendations from the Audit Committee.</w:t>
      </w:r>
    </w:p>
    <w:p w14:paraId="14FC61A6"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Approval of the Annual Report and Accounts in accordance with the Companies Act 2006 and the Listing Rules </w:t>
      </w:r>
      <w:r>
        <w:rPr>
          <w:rFonts w:cs="Arial"/>
        </w:rPr>
        <w:t xml:space="preserve">and </w:t>
      </w:r>
      <w:r w:rsidRPr="00476809">
        <w:rPr>
          <w:rFonts w:cs="Arial"/>
        </w:rPr>
        <w:t>following recommendations from the Audit Committee</w:t>
      </w:r>
      <w:r>
        <w:rPr>
          <w:rFonts w:cs="Arial"/>
        </w:rPr>
        <w:t xml:space="preserve"> where appropriate</w:t>
      </w:r>
      <w:r w:rsidRPr="00476809">
        <w:rPr>
          <w:rFonts w:cs="Arial"/>
        </w:rPr>
        <w:t>.</w:t>
      </w:r>
    </w:p>
    <w:p w14:paraId="313AC9E3"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Approval of trading statements.</w:t>
      </w:r>
    </w:p>
    <w:p w14:paraId="375FE63A"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Approval of the dividend policy.</w:t>
      </w:r>
    </w:p>
    <w:p w14:paraId="751013F6" w14:textId="77777777" w:rsidR="00BE527C"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Declaration of </w:t>
      </w:r>
      <w:r>
        <w:rPr>
          <w:rFonts w:cs="Arial"/>
        </w:rPr>
        <w:t>any</w:t>
      </w:r>
      <w:r w:rsidRPr="00476809">
        <w:rPr>
          <w:rFonts w:cs="Arial"/>
        </w:rPr>
        <w:t xml:space="preserve"> interim dividend and recommendation of the final dividend.</w:t>
      </w:r>
      <w:r>
        <w:rPr>
          <w:rFonts w:cs="Arial"/>
        </w:rPr>
        <w:t xml:space="preserve"> </w:t>
      </w:r>
    </w:p>
    <w:p w14:paraId="04DABCDB" w14:textId="77777777" w:rsidR="00BE527C" w:rsidRDefault="00BE527C" w:rsidP="00BE527C">
      <w:pPr>
        <w:widowControl w:val="0"/>
        <w:numPr>
          <w:ilvl w:val="1"/>
          <w:numId w:val="13"/>
        </w:numPr>
        <w:spacing w:after="120" w:line="276" w:lineRule="auto"/>
        <w:ind w:left="709" w:hanging="709"/>
        <w:jc w:val="both"/>
        <w:rPr>
          <w:rFonts w:cs="Arial"/>
        </w:rPr>
      </w:pPr>
      <w:r w:rsidRPr="002317C9">
        <w:rPr>
          <w:rFonts w:cs="Arial"/>
        </w:rPr>
        <w:t>Approval of any significant changes in accounting policies or practices following recommendations from the Audit Committee.</w:t>
      </w:r>
    </w:p>
    <w:p w14:paraId="568BD408" w14:textId="77777777" w:rsidR="00BE527C" w:rsidRDefault="00BE527C" w:rsidP="00757654">
      <w:pPr>
        <w:pStyle w:val="Heading1"/>
        <w:numPr>
          <w:ilvl w:val="0"/>
          <w:numId w:val="21"/>
        </w:numPr>
        <w:rPr>
          <w:lang w:eastAsia="en-GB"/>
        </w:rPr>
      </w:pPr>
      <w:r>
        <w:rPr>
          <w:lang w:eastAsia="en-GB"/>
        </w:rPr>
        <w:t>Structure and capital</w:t>
      </w:r>
    </w:p>
    <w:p w14:paraId="4D5212C5" w14:textId="77777777" w:rsidR="00BE527C" w:rsidRPr="00F23E43" w:rsidRDefault="00BE527C" w:rsidP="00BE527C">
      <w:pPr>
        <w:pStyle w:val="ListParagraph"/>
        <w:widowControl w:val="0"/>
        <w:numPr>
          <w:ilvl w:val="0"/>
          <w:numId w:val="13"/>
        </w:numPr>
        <w:spacing w:after="120" w:line="276" w:lineRule="auto"/>
        <w:contextualSpacing w:val="0"/>
        <w:jc w:val="both"/>
        <w:rPr>
          <w:rFonts w:cs="Arial"/>
          <w:vanish/>
        </w:rPr>
      </w:pPr>
    </w:p>
    <w:p w14:paraId="60A6DD91"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Changes relating to the Group’s capital structure including reduction of capital, share issues (except under employee share plans) and share buybacks (including the use of treasury shares).</w:t>
      </w:r>
    </w:p>
    <w:p w14:paraId="7C8EE0E2" w14:textId="77777777" w:rsidR="00BE527C" w:rsidRPr="0025016D" w:rsidRDefault="00BE527C" w:rsidP="00BE527C">
      <w:pPr>
        <w:widowControl w:val="0"/>
        <w:numPr>
          <w:ilvl w:val="1"/>
          <w:numId w:val="13"/>
        </w:numPr>
        <w:spacing w:after="120" w:line="276" w:lineRule="auto"/>
        <w:ind w:left="709" w:hanging="709"/>
        <w:jc w:val="both"/>
        <w:rPr>
          <w:rFonts w:cs="Arial"/>
        </w:rPr>
      </w:pPr>
      <w:r w:rsidRPr="0025016D">
        <w:rPr>
          <w:rFonts w:cs="Arial"/>
        </w:rPr>
        <w:t>Major changes to the Group’s corporate structure including the making or receiving of any take-over bid or similar corporate transaction</w:t>
      </w:r>
      <w:r>
        <w:rPr>
          <w:rFonts w:cs="Arial"/>
        </w:rPr>
        <w:t>.</w:t>
      </w:r>
      <w:r w:rsidRPr="0025016D">
        <w:rPr>
          <w:rFonts w:cs="Arial"/>
        </w:rPr>
        <w:t xml:space="preserve"> </w:t>
      </w:r>
    </w:p>
    <w:p w14:paraId="10563CCF" w14:textId="6A87C163" w:rsidR="00BE527C" w:rsidRPr="00960978" w:rsidRDefault="00BE527C" w:rsidP="00BE527C">
      <w:pPr>
        <w:widowControl w:val="0"/>
        <w:numPr>
          <w:ilvl w:val="1"/>
          <w:numId w:val="13"/>
        </w:numPr>
        <w:spacing w:after="120" w:line="276" w:lineRule="auto"/>
        <w:ind w:left="709" w:hanging="709"/>
        <w:jc w:val="both"/>
        <w:rPr>
          <w:rFonts w:cs="Arial"/>
        </w:rPr>
      </w:pPr>
      <w:r w:rsidRPr="00960978">
        <w:rPr>
          <w:rFonts w:cs="Arial"/>
        </w:rPr>
        <w:t>Any changes to the Group’s management and control structure.</w:t>
      </w:r>
    </w:p>
    <w:p w14:paraId="57678AAB" w14:textId="5CA16DC5"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Any changes to the </w:t>
      </w:r>
      <w:r w:rsidR="00793F14">
        <w:rPr>
          <w:rFonts w:cs="Arial"/>
        </w:rPr>
        <w:t>C</w:t>
      </w:r>
      <w:r w:rsidRPr="00476809">
        <w:rPr>
          <w:rFonts w:cs="Arial"/>
        </w:rPr>
        <w:t>ompany’s listing or its status as a plc.</w:t>
      </w:r>
    </w:p>
    <w:p w14:paraId="3A3FA82D"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Any changes to the registered office or name of the Company. </w:t>
      </w:r>
    </w:p>
    <w:p w14:paraId="372388F6" w14:textId="77777777" w:rsidR="00BE527C" w:rsidRDefault="00BE527C" w:rsidP="00BE527C">
      <w:pPr>
        <w:widowControl w:val="0"/>
        <w:numPr>
          <w:ilvl w:val="1"/>
          <w:numId w:val="13"/>
        </w:numPr>
        <w:spacing w:after="120" w:line="276" w:lineRule="auto"/>
        <w:ind w:left="709" w:hanging="709"/>
        <w:jc w:val="both"/>
        <w:rPr>
          <w:rFonts w:cs="Arial"/>
        </w:rPr>
      </w:pPr>
      <w:r w:rsidRPr="00476809">
        <w:rPr>
          <w:rFonts w:cs="Arial"/>
        </w:rPr>
        <w:t>Any changes to the Articles of Association.</w:t>
      </w:r>
    </w:p>
    <w:p w14:paraId="05F03016" w14:textId="4AE69768" w:rsidR="00EE0C82" w:rsidRDefault="00BE527C" w:rsidP="00757654">
      <w:pPr>
        <w:pStyle w:val="Heading1"/>
        <w:numPr>
          <w:ilvl w:val="0"/>
          <w:numId w:val="21"/>
        </w:numPr>
      </w:pPr>
      <w:r>
        <w:lastRenderedPageBreak/>
        <w:t>Major Transactions</w:t>
      </w:r>
    </w:p>
    <w:p w14:paraId="2ACF9D3B" w14:textId="587C4DEF" w:rsidR="00BE527C" w:rsidRPr="0077765F" w:rsidRDefault="00BE527C" w:rsidP="000367DE">
      <w:pPr>
        <w:widowControl w:val="0"/>
        <w:numPr>
          <w:ilvl w:val="0"/>
          <w:numId w:val="19"/>
        </w:numPr>
        <w:spacing w:after="120" w:line="276" w:lineRule="auto"/>
        <w:ind w:left="709" w:hanging="709"/>
        <w:jc w:val="both"/>
        <w:rPr>
          <w:rFonts w:cs="Arial"/>
        </w:rPr>
      </w:pPr>
      <w:r>
        <w:rPr>
          <w:rFonts w:cs="Arial"/>
        </w:rPr>
        <w:t>Approval of</w:t>
      </w:r>
      <w:r w:rsidRPr="0077765F">
        <w:rPr>
          <w:rFonts w:cs="Arial"/>
        </w:rPr>
        <w:t xml:space="preserve"> acquisition</w:t>
      </w:r>
      <w:r>
        <w:rPr>
          <w:rFonts w:cs="Arial"/>
        </w:rPr>
        <w:t>s, disposals, or joint ventures with a value, in shares or cash,</w:t>
      </w:r>
      <w:r w:rsidRPr="0077765F">
        <w:rPr>
          <w:rFonts w:cs="Arial"/>
        </w:rPr>
        <w:t xml:space="preserve"> </w:t>
      </w:r>
      <w:proofErr w:type="gramStart"/>
      <w:r w:rsidRPr="0077765F">
        <w:rPr>
          <w:rFonts w:cs="Arial"/>
        </w:rPr>
        <w:t>in excess of</w:t>
      </w:r>
      <w:proofErr w:type="gramEnd"/>
      <w:r w:rsidRPr="0077765F">
        <w:rPr>
          <w:rFonts w:cs="Arial"/>
        </w:rPr>
        <w:t xml:space="preserve"> £</w:t>
      </w:r>
      <w:r>
        <w:rPr>
          <w:rFonts w:cs="Arial"/>
        </w:rPr>
        <w:t>50</w:t>
      </w:r>
      <w:r w:rsidRPr="0077765F">
        <w:rPr>
          <w:rFonts w:cs="Arial"/>
        </w:rPr>
        <w:t xml:space="preserve"> million</w:t>
      </w:r>
      <w:r>
        <w:rPr>
          <w:rFonts w:cs="Arial"/>
        </w:rPr>
        <w:t>,</w:t>
      </w:r>
      <w:r w:rsidRPr="0077765F">
        <w:rPr>
          <w:rFonts w:cs="Arial"/>
        </w:rPr>
        <w:t xml:space="preserve"> or otherwise material to the interests of the Group</w:t>
      </w:r>
      <w:r>
        <w:rPr>
          <w:rFonts w:cs="Arial"/>
        </w:rPr>
        <w:t xml:space="preserve">, </w:t>
      </w:r>
      <w:r w:rsidRPr="00B07B3F">
        <w:rPr>
          <w:rFonts w:cs="Arial"/>
        </w:rPr>
        <w:t>or outside of the agreed strategy with regards to technology, geographies, risk and reputation,</w:t>
      </w:r>
      <w:r>
        <w:rPr>
          <w:rFonts w:cs="Arial"/>
        </w:rPr>
        <w:t xml:space="preserve"> as advised by the Group Executive Committee or a </w:t>
      </w:r>
      <w:r w:rsidRPr="00B07B3F">
        <w:rPr>
          <w:rFonts w:cs="Arial"/>
        </w:rPr>
        <w:t>Regulated Networks Board</w:t>
      </w:r>
      <w:r w:rsidRPr="0077765F">
        <w:rPr>
          <w:rFonts w:cs="Arial"/>
        </w:rPr>
        <w:t>.</w:t>
      </w:r>
    </w:p>
    <w:p w14:paraId="79CFBA7F" w14:textId="77777777" w:rsidR="00BE527C" w:rsidRPr="0077765F" w:rsidRDefault="00BE527C" w:rsidP="000367DE">
      <w:pPr>
        <w:widowControl w:val="0"/>
        <w:numPr>
          <w:ilvl w:val="1"/>
          <w:numId w:val="20"/>
        </w:numPr>
        <w:spacing w:after="120" w:line="276" w:lineRule="auto"/>
        <w:ind w:left="709" w:hanging="709"/>
        <w:jc w:val="both"/>
        <w:rPr>
          <w:rFonts w:cs="Arial"/>
        </w:rPr>
      </w:pPr>
      <w:r w:rsidRPr="0077765F">
        <w:rPr>
          <w:rFonts w:cs="Arial"/>
        </w:rPr>
        <w:t xml:space="preserve">Capital expenditure of a Group company </w:t>
      </w:r>
      <w:proofErr w:type="gramStart"/>
      <w:r w:rsidRPr="0077765F">
        <w:rPr>
          <w:rFonts w:cs="Arial"/>
        </w:rPr>
        <w:t>in excess of</w:t>
      </w:r>
      <w:proofErr w:type="gramEnd"/>
      <w:r w:rsidRPr="0077765F">
        <w:rPr>
          <w:rFonts w:cs="Arial"/>
        </w:rPr>
        <w:t>:</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4164"/>
      </w:tblGrid>
      <w:tr w:rsidR="00BE527C" w:rsidRPr="0077765F" w14:paraId="5A5C5F72" w14:textId="77777777" w:rsidTr="00CC54D7">
        <w:tc>
          <w:tcPr>
            <w:tcW w:w="3916" w:type="dxa"/>
            <w:shd w:val="clear" w:color="auto" w:fill="auto"/>
          </w:tcPr>
          <w:p w14:paraId="313280B7" w14:textId="77777777" w:rsidR="00BE527C" w:rsidRPr="0077765F" w:rsidRDefault="00BE527C" w:rsidP="000367DE">
            <w:pPr>
              <w:spacing w:after="120" w:line="276" w:lineRule="auto"/>
              <w:ind w:left="709" w:hanging="709"/>
              <w:jc w:val="both"/>
              <w:rPr>
                <w:rFonts w:cs="Arial"/>
                <w:b/>
              </w:rPr>
            </w:pPr>
            <w:r w:rsidRPr="0077765F">
              <w:rPr>
                <w:rFonts w:cs="Arial"/>
                <w:b/>
              </w:rPr>
              <w:t>Approved in Budget</w:t>
            </w:r>
          </w:p>
        </w:tc>
        <w:tc>
          <w:tcPr>
            <w:tcW w:w="4164" w:type="dxa"/>
            <w:shd w:val="clear" w:color="auto" w:fill="auto"/>
          </w:tcPr>
          <w:p w14:paraId="7980B994" w14:textId="77777777" w:rsidR="00BE527C" w:rsidRPr="0077765F" w:rsidRDefault="00BE527C" w:rsidP="000367DE">
            <w:pPr>
              <w:spacing w:after="120" w:line="276" w:lineRule="auto"/>
              <w:ind w:left="709" w:hanging="709"/>
              <w:jc w:val="both"/>
              <w:rPr>
                <w:rFonts w:cs="Arial"/>
              </w:rPr>
            </w:pPr>
            <w:r>
              <w:rPr>
                <w:rFonts w:cs="Arial"/>
              </w:rPr>
              <w:t>£125 million</w:t>
            </w:r>
          </w:p>
        </w:tc>
      </w:tr>
      <w:tr w:rsidR="00BE527C" w:rsidRPr="0077765F" w14:paraId="5EB230EA" w14:textId="77777777" w:rsidTr="00CC54D7">
        <w:tc>
          <w:tcPr>
            <w:tcW w:w="3916" w:type="dxa"/>
            <w:shd w:val="clear" w:color="auto" w:fill="auto"/>
          </w:tcPr>
          <w:p w14:paraId="24C67BD9" w14:textId="77777777" w:rsidR="00BE527C" w:rsidRPr="0077765F" w:rsidRDefault="00BE527C" w:rsidP="000367DE">
            <w:pPr>
              <w:spacing w:after="120" w:line="276" w:lineRule="auto"/>
              <w:ind w:left="709" w:hanging="709"/>
              <w:jc w:val="both"/>
              <w:rPr>
                <w:rFonts w:cs="Arial"/>
                <w:b/>
              </w:rPr>
            </w:pPr>
            <w:r w:rsidRPr="0077765F">
              <w:rPr>
                <w:rFonts w:cs="Arial"/>
                <w:b/>
              </w:rPr>
              <w:t>In Budget Not Approved</w:t>
            </w:r>
          </w:p>
        </w:tc>
        <w:tc>
          <w:tcPr>
            <w:tcW w:w="4164" w:type="dxa"/>
            <w:shd w:val="clear" w:color="auto" w:fill="auto"/>
          </w:tcPr>
          <w:p w14:paraId="6D89E8BB" w14:textId="77777777" w:rsidR="00BE527C" w:rsidRPr="00B07B3F" w:rsidRDefault="00BE527C" w:rsidP="000367DE">
            <w:pPr>
              <w:spacing w:after="120" w:line="276" w:lineRule="auto"/>
              <w:ind w:left="709" w:hanging="709"/>
              <w:jc w:val="both"/>
              <w:rPr>
                <w:rFonts w:cs="Arial"/>
              </w:rPr>
            </w:pPr>
            <w:r w:rsidRPr="00B07B3F">
              <w:rPr>
                <w:rFonts w:cs="Arial"/>
              </w:rPr>
              <w:t>£125 million</w:t>
            </w:r>
          </w:p>
        </w:tc>
      </w:tr>
      <w:tr w:rsidR="00BE527C" w:rsidRPr="0077765F" w14:paraId="6F915518" w14:textId="77777777" w:rsidTr="00CC54D7">
        <w:tc>
          <w:tcPr>
            <w:tcW w:w="3916" w:type="dxa"/>
            <w:shd w:val="clear" w:color="auto" w:fill="auto"/>
          </w:tcPr>
          <w:p w14:paraId="750B58E5" w14:textId="77777777" w:rsidR="00BE527C" w:rsidRPr="0077765F" w:rsidRDefault="00BE527C" w:rsidP="000367DE">
            <w:pPr>
              <w:spacing w:after="120" w:line="276" w:lineRule="auto"/>
              <w:ind w:left="709" w:hanging="709"/>
              <w:jc w:val="both"/>
              <w:rPr>
                <w:rFonts w:cs="Arial"/>
                <w:b/>
              </w:rPr>
            </w:pPr>
            <w:r w:rsidRPr="0077765F">
              <w:rPr>
                <w:rFonts w:cs="Arial"/>
                <w:b/>
              </w:rPr>
              <w:t>Not Approved Not in Budget</w:t>
            </w:r>
          </w:p>
        </w:tc>
        <w:tc>
          <w:tcPr>
            <w:tcW w:w="4164" w:type="dxa"/>
            <w:shd w:val="clear" w:color="auto" w:fill="auto"/>
          </w:tcPr>
          <w:p w14:paraId="4F5E4BDE" w14:textId="0DCC95F7" w:rsidR="00BE527C" w:rsidRPr="00B07B3F" w:rsidRDefault="00BE527C" w:rsidP="000367DE">
            <w:pPr>
              <w:spacing w:after="120" w:line="276" w:lineRule="auto"/>
              <w:ind w:left="709" w:hanging="709"/>
              <w:jc w:val="both"/>
              <w:rPr>
                <w:rFonts w:cs="Arial"/>
              </w:rPr>
            </w:pPr>
            <w:r w:rsidRPr="00B07B3F">
              <w:rPr>
                <w:rFonts w:cs="Arial"/>
              </w:rPr>
              <w:t>£125 million</w:t>
            </w:r>
          </w:p>
        </w:tc>
      </w:tr>
    </w:tbl>
    <w:p w14:paraId="357A6491" w14:textId="77777777" w:rsidR="00BE527C" w:rsidRPr="0077765F" w:rsidRDefault="00BE527C" w:rsidP="000367DE">
      <w:pPr>
        <w:spacing w:after="120" w:line="276" w:lineRule="auto"/>
        <w:ind w:left="709" w:hanging="709"/>
        <w:jc w:val="both"/>
        <w:rPr>
          <w:rFonts w:cs="Arial"/>
        </w:rPr>
      </w:pPr>
    </w:p>
    <w:p w14:paraId="3370E96A" w14:textId="77777777" w:rsidR="00BE527C" w:rsidRPr="0077765F" w:rsidRDefault="00BE527C" w:rsidP="000367DE">
      <w:pPr>
        <w:widowControl w:val="0"/>
        <w:numPr>
          <w:ilvl w:val="1"/>
          <w:numId w:val="20"/>
        </w:numPr>
        <w:spacing w:after="120" w:line="276" w:lineRule="auto"/>
        <w:ind w:left="709" w:hanging="709"/>
        <w:jc w:val="both"/>
        <w:rPr>
          <w:rFonts w:cs="Arial"/>
        </w:rPr>
      </w:pPr>
      <w:r>
        <w:rPr>
          <w:rFonts w:cs="Arial"/>
        </w:rPr>
        <w:t>Operational</w:t>
      </w:r>
      <w:r w:rsidRPr="0077765F">
        <w:rPr>
          <w:rFonts w:cs="Arial"/>
        </w:rPr>
        <w:t xml:space="preserve"> expenditure of a Group company </w:t>
      </w:r>
      <w:proofErr w:type="gramStart"/>
      <w:r w:rsidRPr="0077765F">
        <w:rPr>
          <w:rFonts w:cs="Arial"/>
        </w:rPr>
        <w:t>in excess of</w:t>
      </w:r>
      <w:proofErr w:type="gramEnd"/>
      <w:r w:rsidRPr="0077765F">
        <w:rPr>
          <w:rFonts w:cs="Arial"/>
        </w:rPr>
        <w:t>:</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4164"/>
      </w:tblGrid>
      <w:tr w:rsidR="00BE527C" w:rsidRPr="0077765F" w14:paraId="0968A89D" w14:textId="77777777" w:rsidTr="00CC54D7">
        <w:tc>
          <w:tcPr>
            <w:tcW w:w="3916" w:type="dxa"/>
            <w:shd w:val="clear" w:color="auto" w:fill="auto"/>
          </w:tcPr>
          <w:p w14:paraId="0DB76014" w14:textId="77777777" w:rsidR="00BE527C" w:rsidRPr="0077765F" w:rsidRDefault="00BE527C" w:rsidP="000367DE">
            <w:pPr>
              <w:spacing w:after="120" w:line="276" w:lineRule="auto"/>
              <w:ind w:left="709" w:hanging="709"/>
              <w:jc w:val="both"/>
              <w:rPr>
                <w:rFonts w:cs="Arial"/>
                <w:b/>
              </w:rPr>
            </w:pPr>
            <w:bookmarkStart w:id="2" w:name="_Hlk145927917"/>
            <w:r w:rsidRPr="0077765F">
              <w:rPr>
                <w:rFonts w:cs="Arial"/>
                <w:b/>
              </w:rPr>
              <w:t>Approved in Budget</w:t>
            </w:r>
          </w:p>
        </w:tc>
        <w:tc>
          <w:tcPr>
            <w:tcW w:w="4164" w:type="dxa"/>
            <w:shd w:val="clear" w:color="auto" w:fill="auto"/>
          </w:tcPr>
          <w:p w14:paraId="4EED8734" w14:textId="77777777" w:rsidR="00BE527C" w:rsidRPr="0077765F" w:rsidRDefault="00BE527C" w:rsidP="000367DE">
            <w:pPr>
              <w:spacing w:after="120" w:line="276" w:lineRule="auto"/>
              <w:ind w:left="709" w:hanging="709"/>
              <w:jc w:val="both"/>
              <w:rPr>
                <w:rFonts w:cs="Arial"/>
              </w:rPr>
            </w:pPr>
            <w:r>
              <w:rPr>
                <w:rFonts w:cs="Arial"/>
              </w:rPr>
              <w:t>£125 million</w:t>
            </w:r>
          </w:p>
        </w:tc>
      </w:tr>
      <w:tr w:rsidR="00BE527C" w:rsidRPr="0077765F" w14:paraId="3051FEFE" w14:textId="77777777" w:rsidTr="00CC54D7">
        <w:tc>
          <w:tcPr>
            <w:tcW w:w="3916" w:type="dxa"/>
            <w:shd w:val="clear" w:color="auto" w:fill="auto"/>
          </w:tcPr>
          <w:p w14:paraId="0F1956E5" w14:textId="77777777" w:rsidR="00BE527C" w:rsidRPr="0077765F" w:rsidRDefault="00BE527C" w:rsidP="000367DE">
            <w:pPr>
              <w:spacing w:after="120" w:line="276" w:lineRule="auto"/>
              <w:ind w:left="709" w:hanging="709"/>
              <w:jc w:val="both"/>
              <w:rPr>
                <w:rFonts w:cs="Arial"/>
                <w:b/>
              </w:rPr>
            </w:pPr>
            <w:r w:rsidRPr="0077765F">
              <w:rPr>
                <w:rFonts w:cs="Arial"/>
                <w:b/>
              </w:rPr>
              <w:t xml:space="preserve">Not in Budget </w:t>
            </w:r>
          </w:p>
        </w:tc>
        <w:tc>
          <w:tcPr>
            <w:tcW w:w="4164" w:type="dxa"/>
            <w:shd w:val="clear" w:color="auto" w:fill="auto"/>
          </w:tcPr>
          <w:p w14:paraId="5A274A15" w14:textId="77777777" w:rsidR="00BE527C" w:rsidRPr="0077765F" w:rsidRDefault="00BE527C" w:rsidP="000367DE">
            <w:pPr>
              <w:spacing w:after="120" w:line="276" w:lineRule="auto"/>
              <w:ind w:left="709" w:hanging="709"/>
              <w:jc w:val="both"/>
              <w:rPr>
                <w:rFonts w:cs="Arial"/>
              </w:rPr>
            </w:pPr>
            <w:r w:rsidRPr="0077765F">
              <w:rPr>
                <w:rFonts w:cs="Arial"/>
              </w:rPr>
              <w:t>£</w:t>
            </w:r>
            <w:r>
              <w:rPr>
                <w:rFonts w:cs="Arial"/>
              </w:rPr>
              <w:t>50</w:t>
            </w:r>
            <w:r w:rsidRPr="0077765F">
              <w:rPr>
                <w:rFonts w:cs="Arial"/>
              </w:rPr>
              <w:t xml:space="preserve"> million</w:t>
            </w:r>
          </w:p>
        </w:tc>
      </w:tr>
      <w:bookmarkEnd w:id="2"/>
    </w:tbl>
    <w:p w14:paraId="54B0174F" w14:textId="77777777" w:rsidR="00BE527C" w:rsidRPr="0077765F" w:rsidRDefault="00BE527C" w:rsidP="000367DE">
      <w:pPr>
        <w:spacing w:after="120" w:line="276" w:lineRule="auto"/>
        <w:ind w:left="709" w:hanging="709"/>
        <w:jc w:val="both"/>
        <w:rPr>
          <w:rFonts w:cs="Arial"/>
        </w:rPr>
      </w:pPr>
    </w:p>
    <w:p w14:paraId="027B2505" w14:textId="77777777" w:rsidR="00BE527C" w:rsidRDefault="00BE527C" w:rsidP="000367DE">
      <w:pPr>
        <w:widowControl w:val="0"/>
        <w:numPr>
          <w:ilvl w:val="1"/>
          <w:numId w:val="20"/>
        </w:numPr>
        <w:spacing w:after="120" w:line="276" w:lineRule="auto"/>
        <w:ind w:left="709" w:hanging="709"/>
        <w:jc w:val="both"/>
        <w:rPr>
          <w:rFonts w:cs="Arial"/>
        </w:rPr>
      </w:pPr>
      <w:r>
        <w:rPr>
          <w:rFonts w:cs="Arial"/>
        </w:rPr>
        <w:t xml:space="preserve">Development expenditure of a Group Company </w:t>
      </w:r>
      <w:proofErr w:type="gramStart"/>
      <w:r>
        <w:rPr>
          <w:rFonts w:cs="Arial"/>
        </w:rPr>
        <w:t>in excess of</w:t>
      </w:r>
      <w:proofErr w:type="gramEnd"/>
      <w:r>
        <w:rPr>
          <w:rFonts w:cs="Arial"/>
        </w:rPr>
        <w:t xml:space="preserve">: </w:t>
      </w:r>
    </w:p>
    <w:tbl>
      <w:tblPr>
        <w:tblStyle w:val="TableGrid"/>
        <w:tblW w:w="8080" w:type="dxa"/>
        <w:tblInd w:w="817" w:type="dxa"/>
        <w:tblLook w:val="04A0" w:firstRow="1" w:lastRow="0" w:firstColumn="1" w:lastColumn="0" w:noHBand="0" w:noVBand="1"/>
      </w:tblPr>
      <w:tblGrid>
        <w:gridCol w:w="3969"/>
        <w:gridCol w:w="4111"/>
      </w:tblGrid>
      <w:tr w:rsidR="00BE527C" w14:paraId="5FB0E13D" w14:textId="77777777" w:rsidTr="00CC54D7">
        <w:tc>
          <w:tcPr>
            <w:tcW w:w="3969" w:type="dxa"/>
          </w:tcPr>
          <w:p w14:paraId="4947D2D5" w14:textId="77777777" w:rsidR="00BE527C" w:rsidRPr="00191739" w:rsidRDefault="00BE527C" w:rsidP="000367DE">
            <w:pPr>
              <w:widowControl w:val="0"/>
              <w:spacing w:after="120" w:line="276" w:lineRule="auto"/>
              <w:ind w:left="709" w:hanging="709"/>
              <w:jc w:val="both"/>
              <w:rPr>
                <w:rFonts w:cs="Arial"/>
                <w:b/>
                <w:bCs/>
              </w:rPr>
            </w:pPr>
            <w:r w:rsidRPr="00191739">
              <w:rPr>
                <w:rFonts w:cs="Arial"/>
                <w:b/>
                <w:bCs/>
              </w:rPr>
              <w:t>Approved in Budget</w:t>
            </w:r>
          </w:p>
        </w:tc>
        <w:tc>
          <w:tcPr>
            <w:tcW w:w="4111" w:type="dxa"/>
          </w:tcPr>
          <w:p w14:paraId="6370210D" w14:textId="77777777" w:rsidR="00BE527C" w:rsidRPr="00191739" w:rsidRDefault="00BE527C" w:rsidP="000367DE">
            <w:pPr>
              <w:widowControl w:val="0"/>
              <w:spacing w:after="120" w:line="276" w:lineRule="auto"/>
              <w:ind w:left="709" w:hanging="709"/>
              <w:jc w:val="both"/>
              <w:rPr>
                <w:rFonts w:cs="Arial"/>
              </w:rPr>
            </w:pPr>
            <w:r w:rsidRPr="00191739">
              <w:rPr>
                <w:rFonts w:cs="Arial"/>
              </w:rPr>
              <w:t>£25 million</w:t>
            </w:r>
          </w:p>
        </w:tc>
      </w:tr>
      <w:tr w:rsidR="00BE527C" w14:paraId="45FCAB7D" w14:textId="77777777" w:rsidTr="00CC54D7">
        <w:tc>
          <w:tcPr>
            <w:tcW w:w="3969" w:type="dxa"/>
          </w:tcPr>
          <w:p w14:paraId="1FBDC21F" w14:textId="77777777" w:rsidR="00BE527C" w:rsidRPr="00191739" w:rsidRDefault="00BE527C" w:rsidP="000367DE">
            <w:pPr>
              <w:widowControl w:val="0"/>
              <w:spacing w:after="120" w:line="276" w:lineRule="auto"/>
              <w:ind w:left="709" w:hanging="709"/>
              <w:jc w:val="both"/>
              <w:rPr>
                <w:rFonts w:cs="Arial"/>
                <w:b/>
                <w:bCs/>
              </w:rPr>
            </w:pPr>
            <w:r w:rsidRPr="00191739">
              <w:rPr>
                <w:rFonts w:cs="Arial"/>
                <w:b/>
                <w:bCs/>
              </w:rPr>
              <w:t>Not in Budget</w:t>
            </w:r>
          </w:p>
        </w:tc>
        <w:tc>
          <w:tcPr>
            <w:tcW w:w="4111" w:type="dxa"/>
          </w:tcPr>
          <w:p w14:paraId="4DCCD463" w14:textId="77777777" w:rsidR="00BE527C" w:rsidRPr="00191739" w:rsidRDefault="00BE527C" w:rsidP="000367DE">
            <w:pPr>
              <w:widowControl w:val="0"/>
              <w:spacing w:after="120" w:line="276" w:lineRule="auto"/>
              <w:ind w:left="709" w:hanging="709"/>
              <w:jc w:val="both"/>
              <w:rPr>
                <w:rFonts w:cs="Arial"/>
              </w:rPr>
            </w:pPr>
            <w:r w:rsidRPr="00191739">
              <w:rPr>
                <w:rFonts w:cs="Arial"/>
              </w:rPr>
              <w:t>£15 million</w:t>
            </w:r>
          </w:p>
        </w:tc>
      </w:tr>
    </w:tbl>
    <w:p w14:paraId="094BA5DE" w14:textId="77777777" w:rsidR="00BE527C" w:rsidRDefault="00BE527C" w:rsidP="000367DE">
      <w:pPr>
        <w:widowControl w:val="0"/>
        <w:spacing w:after="120" w:line="276" w:lineRule="auto"/>
        <w:ind w:left="709" w:hanging="709"/>
        <w:jc w:val="both"/>
        <w:rPr>
          <w:rFonts w:cs="Arial"/>
        </w:rPr>
      </w:pPr>
    </w:p>
    <w:p w14:paraId="3626E5C1" w14:textId="77777777" w:rsidR="00BE527C" w:rsidRPr="009E4BA4" w:rsidRDefault="00BE527C" w:rsidP="000367DE">
      <w:pPr>
        <w:widowControl w:val="0"/>
        <w:numPr>
          <w:ilvl w:val="1"/>
          <w:numId w:val="20"/>
        </w:numPr>
        <w:spacing w:after="120" w:line="276" w:lineRule="auto"/>
        <w:ind w:left="709" w:hanging="709"/>
        <w:jc w:val="both"/>
        <w:rPr>
          <w:rFonts w:cs="Arial"/>
        </w:rPr>
      </w:pPr>
      <w:r w:rsidRPr="0077765F">
        <w:rPr>
          <w:rFonts w:cs="Arial"/>
        </w:rPr>
        <w:t xml:space="preserve">Prosecution, defence or settlement of litigation involving a value </w:t>
      </w:r>
      <w:proofErr w:type="gramStart"/>
      <w:r w:rsidRPr="0077765F">
        <w:rPr>
          <w:rFonts w:cs="Arial"/>
        </w:rPr>
        <w:t>in excess of</w:t>
      </w:r>
      <w:proofErr w:type="gramEnd"/>
      <w:r w:rsidRPr="0077765F">
        <w:rPr>
          <w:rFonts w:cs="Arial"/>
        </w:rPr>
        <w:t xml:space="preserve"> £30 million or being otherwise material to the interests of the Group</w:t>
      </w:r>
      <w:r>
        <w:rPr>
          <w:rFonts w:cs="Arial"/>
        </w:rPr>
        <w:t xml:space="preserve"> as advised by the Group Executive Committee or a Regulated Networks Boards</w:t>
      </w:r>
      <w:r w:rsidRPr="0077765F">
        <w:rPr>
          <w:rFonts w:cs="Arial"/>
        </w:rPr>
        <w:t>.</w:t>
      </w:r>
    </w:p>
    <w:p w14:paraId="0D48E81F" w14:textId="77777777" w:rsidR="00BE527C" w:rsidRDefault="00BE527C" w:rsidP="00757654">
      <w:pPr>
        <w:pStyle w:val="Heading1"/>
        <w:numPr>
          <w:ilvl w:val="0"/>
          <w:numId w:val="21"/>
        </w:numPr>
        <w:rPr>
          <w:lang w:eastAsia="en-GB"/>
        </w:rPr>
      </w:pPr>
      <w:r>
        <w:rPr>
          <w:lang w:eastAsia="en-GB"/>
        </w:rPr>
        <w:t>Risk and internal controls</w:t>
      </w:r>
    </w:p>
    <w:p w14:paraId="40FD99EB" w14:textId="77777777" w:rsidR="00BE527C" w:rsidRPr="009E4BA4" w:rsidRDefault="00BE527C" w:rsidP="00BE527C">
      <w:pPr>
        <w:pStyle w:val="ListParagraph"/>
        <w:widowControl w:val="0"/>
        <w:numPr>
          <w:ilvl w:val="0"/>
          <w:numId w:val="13"/>
        </w:numPr>
        <w:spacing w:after="120" w:line="276" w:lineRule="auto"/>
        <w:contextualSpacing w:val="0"/>
        <w:jc w:val="both"/>
        <w:rPr>
          <w:rFonts w:cs="Arial"/>
          <w:vanish/>
        </w:rPr>
      </w:pPr>
    </w:p>
    <w:p w14:paraId="5C06B019" w14:textId="77777777" w:rsidR="00BE527C" w:rsidRPr="009E4BA4" w:rsidRDefault="00BE527C" w:rsidP="00BE527C">
      <w:pPr>
        <w:pStyle w:val="ListParagraph"/>
        <w:widowControl w:val="0"/>
        <w:numPr>
          <w:ilvl w:val="0"/>
          <w:numId w:val="13"/>
        </w:numPr>
        <w:spacing w:after="120" w:line="276" w:lineRule="auto"/>
        <w:contextualSpacing w:val="0"/>
        <w:jc w:val="both"/>
        <w:rPr>
          <w:rFonts w:cs="Arial"/>
          <w:vanish/>
        </w:rPr>
      </w:pPr>
    </w:p>
    <w:p w14:paraId="079EA639" w14:textId="77777777" w:rsidR="00BE527C" w:rsidRPr="00476809" w:rsidRDefault="00BE527C" w:rsidP="000367DE">
      <w:pPr>
        <w:widowControl w:val="0"/>
        <w:numPr>
          <w:ilvl w:val="1"/>
          <w:numId w:val="13"/>
        </w:numPr>
        <w:spacing w:after="120" w:line="276" w:lineRule="auto"/>
        <w:ind w:left="709" w:hanging="709"/>
        <w:jc w:val="both"/>
        <w:rPr>
          <w:rFonts w:cs="Arial"/>
        </w:rPr>
      </w:pPr>
      <w:r w:rsidRPr="00476809">
        <w:rPr>
          <w:rFonts w:cs="Arial"/>
        </w:rPr>
        <w:t>Ensur</w:t>
      </w:r>
      <w:r>
        <w:rPr>
          <w:rFonts w:cs="Arial"/>
        </w:rPr>
        <w:t>e</w:t>
      </w:r>
      <w:r w:rsidRPr="00476809">
        <w:rPr>
          <w:rFonts w:cs="Arial"/>
        </w:rPr>
        <w:t xml:space="preserve"> maintenance of a</w:t>
      </w:r>
      <w:r>
        <w:rPr>
          <w:rFonts w:cs="Arial"/>
        </w:rPr>
        <w:t>n effective and</w:t>
      </w:r>
      <w:r w:rsidRPr="00476809">
        <w:rPr>
          <w:rFonts w:cs="Arial"/>
        </w:rPr>
        <w:t xml:space="preserve"> sound system of internal control and risk management following recommendation</w:t>
      </w:r>
      <w:r>
        <w:rPr>
          <w:rFonts w:cs="Arial"/>
        </w:rPr>
        <w:t>s</w:t>
      </w:r>
      <w:r w:rsidRPr="00476809">
        <w:rPr>
          <w:rFonts w:cs="Arial"/>
        </w:rPr>
        <w:t xml:space="preserve"> from the Audit Committee</w:t>
      </w:r>
      <w:r>
        <w:rPr>
          <w:rFonts w:cs="Arial"/>
        </w:rPr>
        <w:t xml:space="preserve"> where appropriate</w:t>
      </w:r>
      <w:r w:rsidRPr="00476809">
        <w:rPr>
          <w:rFonts w:cs="Arial"/>
        </w:rPr>
        <w:t>.</w:t>
      </w:r>
    </w:p>
    <w:p w14:paraId="6C5B84D6" w14:textId="5907DD0E" w:rsidR="00BE527C" w:rsidRDefault="00BE527C" w:rsidP="000367DE">
      <w:pPr>
        <w:widowControl w:val="0"/>
        <w:numPr>
          <w:ilvl w:val="1"/>
          <w:numId w:val="13"/>
        </w:numPr>
        <w:spacing w:after="120" w:line="276" w:lineRule="auto"/>
        <w:ind w:left="709" w:hanging="709"/>
        <w:jc w:val="both"/>
        <w:rPr>
          <w:rFonts w:cs="Arial"/>
        </w:rPr>
      </w:pPr>
      <w:r>
        <w:rPr>
          <w:rFonts w:cs="Arial"/>
        </w:rPr>
        <w:t>Approval of the Group’s risk appetite and e</w:t>
      </w:r>
      <w:r w:rsidRPr="00476809">
        <w:rPr>
          <w:rFonts w:cs="Arial"/>
        </w:rPr>
        <w:t>nsuring a</w:t>
      </w:r>
      <w:r>
        <w:rPr>
          <w:rFonts w:cs="Arial"/>
        </w:rPr>
        <w:t xml:space="preserve">n </w:t>
      </w:r>
      <w:r w:rsidRPr="00476809">
        <w:rPr>
          <w:rFonts w:cs="Arial"/>
        </w:rPr>
        <w:t xml:space="preserve">assessment of the Company’s emerging and agreed principal risks is undertaken and reported on. </w:t>
      </w:r>
    </w:p>
    <w:p w14:paraId="4335D9C4" w14:textId="77777777" w:rsidR="00E45878" w:rsidRDefault="00E45878">
      <w:pPr>
        <w:rPr>
          <w:rFonts w:eastAsia="Times New Roman" w:cs="Arial"/>
          <w:b/>
          <w:bCs/>
          <w:color w:val="1C437E"/>
          <w:kern w:val="32"/>
          <w:sz w:val="42"/>
          <w:szCs w:val="32"/>
          <w14:ligatures w14:val="none"/>
        </w:rPr>
      </w:pPr>
      <w:r>
        <w:br w:type="page"/>
      </w:r>
    </w:p>
    <w:p w14:paraId="0E04056C" w14:textId="43558756" w:rsidR="00BE527C" w:rsidRPr="00F23E43" w:rsidRDefault="00BE527C" w:rsidP="00757654">
      <w:pPr>
        <w:pStyle w:val="Heading1"/>
        <w:numPr>
          <w:ilvl w:val="0"/>
          <w:numId w:val="21"/>
        </w:numPr>
      </w:pPr>
      <w:r>
        <w:lastRenderedPageBreak/>
        <w:t>People and culture</w:t>
      </w:r>
    </w:p>
    <w:p w14:paraId="4B50C77E" w14:textId="77777777" w:rsidR="00BE527C" w:rsidRPr="00F23E43" w:rsidRDefault="00BE527C" w:rsidP="00BE527C">
      <w:pPr>
        <w:pStyle w:val="ListParagraph"/>
        <w:widowControl w:val="0"/>
        <w:numPr>
          <w:ilvl w:val="0"/>
          <w:numId w:val="13"/>
        </w:numPr>
        <w:spacing w:after="120" w:line="276" w:lineRule="auto"/>
        <w:contextualSpacing w:val="0"/>
        <w:jc w:val="both"/>
        <w:rPr>
          <w:rFonts w:cs="Arial"/>
          <w:vanish/>
          <w:color w:val="FF0000"/>
        </w:rPr>
      </w:pPr>
    </w:p>
    <w:p w14:paraId="7501FCA5" w14:textId="0283AD9D" w:rsidR="00BE527C" w:rsidRPr="003C0101" w:rsidRDefault="00BE527C" w:rsidP="00BE527C">
      <w:pPr>
        <w:widowControl w:val="0"/>
        <w:numPr>
          <w:ilvl w:val="1"/>
          <w:numId w:val="13"/>
        </w:numPr>
        <w:spacing w:after="120" w:line="276" w:lineRule="auto"/>
        <w:ind w:left="709" w:hanging="709"/>
        <w:jc w:val="both"/>
        <w:rPr>
          <w:rFonts w:cs="Arial"/>
        </w:rPr>
      </w:pPr>
      <w:r w:rsidRPr="003C0101">
        <w:rPr>
          <w:rFonts w:cs="Arial"/>
        </w:rPr>
        <w:t>Responsibility to agree, monitor</w:t>
      </w:r>
      <w:r w:rsidR="002C1CBF">
        <w:rPr>
          <w:rFonts w:cs="Arial"/>
        </w:rPr>
        <w:t xml:space="preserve">, </w:t>
      </w:r>
      <w:r w:rsidRPr="003C0101">
        <w:rPr>
          <w:rFonts w:cs="Arial"/>
        </w:rPr>
        <w:t>promote</w:t>
      </w:r>
      <w:r w:rsidR="002C1CBF">
        <w:rPr>
          <w:rFonts w:cs="Arial"/>
        </w:rPr>
        <w:t>, and assess the embed</w:t>
      </w:r>
      <w:r w:rsidR="00EA7196">
        <w:rPr>
          <w:rFonts w:cs="Arial"/>
        </w:rPr>
        <w:t>ding</w:t>
      </w:r>
      <w:r w:rsidR="002C1CBF">
        <w:rPr>
          <w:rFonts w:cs="Arial"/>
        </w:rPr>
        <w:t xml:space="preserve"> of,</w:t>
      </w:r>
      <w:r w:rsidRPr="003C0101">
        <w:rPr>
          <w:rFonts w:cs="Arial"/>
        </w:rPr>
        <w:t xml:space="preserve"> a healthy culture for the Group including setting the Group’s values, policies and standards which set out the attitudes and </w:t>
      </w:r>
      <w:r w:rsidR="00B26AE1" w:rsidRPr="003C0101">
        <w:rPr>
          <w:rFonts w:cs="Arial"/>
        </w:rPr>
        <w:t>behaviours</w:t>
      </w:r>
      <w:r w:rsidRPr="003C0101">
        <w:rPr>
          <w:rFonts w:cs="Arial"/>
        </w:rPr>
        <w:t xml:space="preserve"> to drive responsible conduct, operations and relations with key stakeholders.   </w:t>
      </w:r>
    </w:p>
    <w:p w14:paraId="684637E8"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Ensure there is a policy in place allowing the workforce to raise any matters of concern. </w:t>
      </w:r>
    </w:p>
    <w:p w14:paraId="68DBA3C2"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Review the </w:t>
      </w:r>
      <w:r>
        <w:rPr>
          <w:rFonts w:cs="Arial"/>
        </w:rPr>
        <w:t>Group</w:t>
      </w:r>
      <w:r w:rsidRPr="00476809">
        <w:rPr>
          <w:rFonts w:cs="Arial"/>
        </w:rPr>
        <w:t xml:space="preserve">’s Whistleblowing Policy and any reports arising from its operation. </w:t>
      </w:r>
    </w:p>
    <w:p w14:paraId="4D263992" w14:textId="77777777" w:rsidR="00BE527C" w:rsidRDefault="00BE527C" w:rsidP="00BE527C">
      <w:pPr>
        <w:widowControl w:val="0"/>
        <w:numPr>
          <w:ilvl w:val="1"/>
          <w:numId w:val="13"/>
        </w:numPr>
        <w:spacing w:after="120" w:line="276" w:lineRule="auto"/>
        <w:ind w:left="709" w:hanging="709"/>
        <w:jc w:val="both"/>
        <w:rPr>
          <w:rFonts w:cs="Arial"/>
        </w:rPr>
      </w:pPr>
      <w:r w:rsidRPr="00476809">
        <w:rPr>
          <w:rFonts w:cs="Arial"/>
        </w:rPr>
        <w:t xml:space="preserve">Ensure there are processes in place to facilitate an independent investigation, allowing any action required, to be determined. </w:t>
      </w:r>
    </w:p>
    <w:p w14:paraId="4E7B65B0"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Material changes to the rules of the Company pension schemes or (when this is subject to the approval by the Company) material changes in the fund management arrangements.</w:t>
      </w:r>
    </w:p>
    <w:p w14:paraId="6EF8EDFF" w14:textId="77777777" w:rsidR="00BE527C" w:rsidRPr="004E28C7" w:rsidRDefault="00BE527C" w:rsidP="00BE527C">
      <w:pPr>
        <w:widowControl w:val="0"/>
        <w:numPr>
          <w:ilvl w:val="1"/>
          <w:numId w:val="13"/>
        </w:numPr>
        <w:spacing w:after="120" w:line="276" w:lineRule="auto"/>
        <w:ind w:left="709" w:hanging="709"/>
        <w:jc w:val="both"/>
        <w:rPr>
          <w:rFonts w:cs="Arial"/>
        </w:rPr>
      </w:pPr>
      <w:r w:rsidRPr="00476809">
        <w:rPr>
          <w:rFonts w:cs="Arial"/>
        </w:rPr>
        <w:t>Establishing employee and other incentive schemes and any material changes to them.</w:t>
      </w:r>
    </w:p>
    <w:p w14:paraId="5ECF4067" w14:textId="77777777" w:rsidR="00BE527C" w:rsidRDefault="00BE527C" w:rsidP="00757654">
      <w:pPr>
        <w:pStyle w:val="Heading1"/>
        <w:numPr>
          <w:ilvl w:val="0"/>
          <w:numId w:val="21"/>
        </w:numPr>
      </w:pPr>
      <w:r>
        <w:t>Board conduct</w:t>
      </w:r>
    </w:p>
    <w:p w14:paraId="4FE6977E" w14:textId="77777777" w:rsidR="00BE527C" w:rsidRDefault="00BE527C" w:rsidP="00BE527C">
      <w:pPr>
        <w:pStyle w:val="Heading2"/>
        <w:spacing w:before="0"/>
      </w:pPr>
      <w:r>
        <w:t>Board membership and appointments</w:t>
      </w:r>
    </w:p>
    <w:p w14:paraId="5C4EA213" w14:textId="77777777" w:rsidR="00BE527C" w:rsidRPr="00F23E43" w:rsidRDefault="00BE527C" w:rsidP="00BE527C">
      <w:pPr>
        <w:pStyle w:val="ListParagraph"/>
        <w:widowControl w:val="0"/>
        <w:numPr>
          <w:ilvl w:val="0"/>
          <w:numId w:val="13"/>
        </w:numPr>
        <w:spacing w:after="120" w:line="276" w:lineRule="auto"/>
        <w:contextualSpacing w:val="0"/>
        <w:jc w:val="both"/>
        <w:rPr>
          <w:rFonts w:cs="Arial"/>
          <w:vanish/>
        </w:rPr>
      </w:pPr>
    </w:p>
    <w:p w14:paraId="4FACA2EB" w14:textId="77777777" w:rsidR="00BE527C" w:rsidRPr="00476809" w:rsidRDefault="00BE527C" w:rsidP="00BE527C">
      <w:pPr>
        <w:widowControl w:val="0"/>
        <w:numPr>
          <w:ilvl w:val="1"/>
          <w:numId w:val="13"/>
        </w:numPr>
        <w:spacing w:after="120" w:line="276" w:lineRule="auto"/>
        <w:ind w:left="709" w:hanging="715"/>
        <w:jc w:val="both"/>
        <w:rPr>
          <w:rFonts w:cs="Arial"/>
        </w:rPr>
      </w:pPr>
      <w:r w:rsidRPr="00476809">
        <w:rPr>
          <w:rFonts w:cs="Arial"/>
        </w:rPr>
        <w:t xml:space="preserve">Changes to the structure, size, and composition of the </w:t>
      </w:r>
      <w:r>
        <w:rPr>
          <w:rFonts w:cs="Arial"/>
        </w:rPr>
        <w:t>B</w:t>
      </w:r>
      <w:r w:rsidRPr="00476809">
        <w:rPr>
          <w:rFonts w:cs="Arial"/>
        </w:rPr>
        <w:t>oard, following recommendations from the</w:t>
      </w:r>
      <w:r>
        <w:rPr>
          <w:rFonts w:cs="Arial"/>
        </w:rPr>
        <w:t xml:space="preserve"> </w:t>
      </w:r>
      <w:r w:rsidRPr="00476809">
        <w:rPr>
          <w:rFonts w:cs="Arial"/>
        </w:rPr>
        <w:t>Nomination Committee.</w:t>
      </w:r>
    </w:p>
    <w:p w14:paraId="2CF3006B" w14:textId="77777777" w:rsidR="00BE527C" w:rsidRDefault="00BE527C" w:rsidP="00BE527C">
      <w:pPr>
        <w:widowControl w:val="0"/>
        <w:numPr>
          <w:ilvl w:val="1"/>
          <w:numId w:val="13"/>
        </w:numPr>
        <w:spacing w:after="120" w:line="276" w:lineRule="auto"/>
        <w:ind w:left="709" w:hanging="715"/>
        <w:jc w:val="both"/>
        <w:rPr>
          <w:rFonts w:cs="Arial"/>
        </w:rPr>
      </w:pPr>
      <w:r w:rsidRPr="00476809">
        <w:rPr>
          <w:rFonts w:cs="Arial"/>
        </w:rPr>
        <w:t>Appointment and removal of the Directors</w:t>
      </w:r>
      <w:r>
        <w:rPr>
          <w:rFonts w:cs="Arial"/>
        </w:rPr>
        <w:t xml:space="preserve"> and Secretary</w:t>
      </w:r>
      <w:r w:rsidRPr="00476809">
        <w:rPr>
          <w:rFonts w:cs="Arial"/>
        </w:rPr>
        <w:t xml:space="preserve"> of the Company and changes to their executive positions </w:t>
      </w:r>
      <w:r>
        <w:rPr>
          <w:rFonts w:cs="Arial"/>
        </w:rPr>
        <w:t>as</w:t>
      </w:r>
      <w:r w:rsidRPr="00476809">
        <w:rPr>
          <w:rFonts w:cs="Arial"/>
        </w:rPr>
        <w:t xml:space="preserve"> recommend</w:t>
      </w:r>
      <w:r>
        <w:rPr>
          <w:rFonts w:cs="Arial"/>
        </w:rPr>
        <w:t>ed</w:t>
      </w:r>
      <w:r w:rsidRPr="00476809">
        <w:rPr>
          <w:rFonts w:cs="Arial"/>
        </w:rPr>
        <w:t xml:space="preserve"> </w:t>
      </w:r>
      <w:r>
        <w:rPr>
          <w:rFonts w:cs="Arial"/>
        </w:rPr>
        <w:t>by</w:t>
      </w:r>
      <w:r w:rsidRPr="00476809">
        <w:rPr>
          <w:rFonts w:cs="Arial"/>
        </w:rPr>
        <w:t xml:space="preserve"> the Nomination Committee.</w:t>
      </w:r>
    </w:p>
    <w:p w14:paraId="0163C3B2" w14:textId="77777777" w:rsidR="00BE527C" w:rsidRPr="00DD008E" w:rsidRDefault="00BE527C" w:rsidP="00BE527C">
      <w:pPr>
        <w:widowControl w:val="0"/>
        <w:numPr>
          <w:ilvl w:val="1"/>
          <w:numId w:val="13"/>
        </w:numPr>
        <w:spacing w:after="120" w:line="276" w:lineRule="auto"/>
        <w:ind w:left="709" w:hanging="709"/>
        <w:jc w:val="both"/>
        <w:rPr>
          <w:rFonts w:cs="Arial"/>
        </w:rPr>
      </w:pPr>
      <w:r w:rsidRPr="00476809">
        <w:rPr>
          <w:rFonts w:cs="Arial"/>
        </w:rPr>
        <w:t>Determination of the independence of any Non-Executive Director or proposed Non-Executive Director.</w:t>
      </w:r>
    </w:p>
    <w:p w14:paraId="6B572754" w14:textId="77777777" w:rsidR="00BE527C" w:rsidRPr="00476809" w:rsidRDefault="00BE527C" w:rsidP="00BE527C">
      <w:pPr>
        <w:widowControl w:val="0"/>
        <w:numPr>
          <w:ilvl w:val="1"/>
          <w:numId w:val="13"/>
        </w:numPr>
        <w:spacing w:after="120" w:line="276" w:lineRule="auto"/>
        <w:ind w:left="709" w:hanging="715"/>
        <w:jc w:val="both"/>
        <w:rPr>
          <w:rFonts w:cs="Arial"/>
        </w:rPr>
      </w:pPr>
      <w:r w:rsidRPr="00476809">
        <w:rPr>
          <w:rFonts w:cs="Arial"/>
        </w:rPr>
        <w:t>Approval of the terms of reference of the Chair, Senior Independent Director, Chief Executive, Executive Directors</w:t>
      </w:r>
      <w:r>
        <w:rPr>
          <w:rFonts w:cs="Arial"/>
        </w:rPr>
        <w:t>,</w:t>
      </w:r>
      <w:r w:rsidRPr="00476809">
        <w:rPr>
          <w:rFonts w:cs="Arial"/>
        </w:rPr>
        <w:t xml:space="preserve"> and Non-Executive Director of Employee Engagement.</w:t>
      </w:r>
    </w:p>
    <w:p w14:paraId="098CAD0B" w14:textId="77777777" w:rsidR="00BE527C" w:rsidRPr="00476809" w:rsidRDefault="00BE527C" w:rsidP="00BE527C">
      <w:pPr>
        <w:widowControl w:val="0"/>
        <w:numPr>
          <w:ilvl w:val="1"/>
          <w:numId w:val="13"/>
        </w:numPr>
        <w:spacing w:after="120" w:line="276" w:lineRule="auto"/>
        <w:ind w:left="709" w:hanging="715"/>
        <w:jc w:val="both"/>
        <w:rPr>
          <w:rFonts w:cs="Arial"/>
        </w:rPr>
      </w:pPr>
      <w:r w:rsidRPr="00476809">
        <w:rPr>
          <w:rFonts w:cs="Arial"/>
        </w:rPr>
        <w:t xml:space="preserve">Approval of the </w:t>
      </w:r>
      <w:r>
        <w:rPr>
          <w:rFonts w:cs="Arial"/>
        </w:rPr>
        <w:t>T</w:t>
      </w:r>
      <w:r w:rsidRPr="00476809">
        <w:rPr>
          <w:rFonts w:cs="Arial"/>
        </w:rPr>
        <w:t xml:space="preserve">erms of </w:t>
      </w:r>
      <w:r>
        <w:rPr>
          <w:rFonts w:cs="Arial"/>
        </w:rPr>
        <w:t>R</w:t>
      </w:r>
      <w:r w:rsidRPr="00476809">
        <w:rPr>
          <w:rFonts w:cs="Arial"/>
        </w:rPr>
        <w:t>eference</w:t>
      </w:r>
      <w:r>
        <w:rPr>
          <w:rFonts w:cs="Arial"/>
        </w:rPr>
        <w:t xml:space="preserve"> and</w:t>
      </w:r>
      <w:r w:rsidRPr="00476809">
        <w:rPr>
          <w:rFonts w:cs="Arial"/>
        </w:rPr>
        <w:t xml:space="preserve"> membership of board committees</w:t>
      </w:r>
      <w:r>
        <w:rPr>
          <w:rFonts w:cs="Arial"/>
        </w:rPr>
        <w:t xml:space="preserve"> and the creation of any new board committees as required.</w:t>
      </w:r>
    </w:p>
    <w:p w14:paraId="74D730D2" w14:textId="77777777" w:rsidR="00BE527C" w:rsidRPr="00476809" w:rsidRDefault="00BE527C" w:rsidP="00BE527C">
      <w:pPr>
        <w:widowControl w:val="0"/>
        <w:numPr>
          <w:ilvl w:val="1"/>
          <w:numId w:val="13"/>
        </w:numPr>
        <w:spacing w:after="120" w:line="276" w:lineRule="auto"/>
        <w:ind w:left="709" w:hanging="715"/>
        <w:jc w:val="both"/>
        <w:rPr>
          <w:rFonts w:cs="Arial"/>
        </w:rPr>
      </w:pPr>
      <w:r w:rsidRPr="00476809">
        <w:rPr>
          <w:rFonts w:cs="Arial"/>
        </w:rPr>
        <w:t>Ensur</w:t>
      </w:r>
      <w:r>
        <w:rPr>
          <w:rFonts w:cs="Arial"/>
        </w:rPr>
        <w:t>e</w:t>
      </w:r>
      <w:r w:rsidRPr="00476809">
        <w:rPr>
          <w:rFonts w:cs="Arial"/>
        </w:rPr>
        <w:t xml:space="preserve"> adequate succession planning for the board and senior management.</w:t>
      </w:r>
    </w:p>
    <w:p w14:paraId="7E78E078" w14:textId="77777777" w:rsidR="00BE527C" w:rsidRPr="00476809" w:rsidRDefault="00BE527C" w:rsidP="00BE527C">
      <w:pPr>
        <w:widowControl w:val="0"/>
        <w:numPr>
          <w:ilvl w:val="1"/>
          <w:numId w:val="13"/>
        </w:numPr>
        <w:spacing w:after="120" w:line="276" w:lineRule="auto"/>
        <w:ind w:left="709" w:hanging="715"/>
        <w:jc w:val="both"/>
        <w:rPr>
          <w:rFonts w:cs="Arial"/>
        </w:rPr>
      </w:pPr>
      <w:r w:rsidRPr="00476809">
        <w:rPr>
          <w:rFonts w:cs="Arial"/>
        </w:rPr>
        <w:t>Appointment, reappointment</w:t>
      </w:r>
      <w:r>
        <w:rPr>
          <w:rFonts w:cs="Arial"/>
        </w:rPr>
        <w:t>,</w:t>
      </w:r>
      <w:r w:rsidRPr="00476809">
        <w:rPr>
          <w:rFonts w:cs="Arial"/>
        </w:rPr>
        <w:t xml:space="preserve"> or removal of the external auditor to be put to shareholders for the approval, following recommendations from the Audit Committee.</w:t>
      </w:r>
    </w:p>
    <w:p w14:paraId="7E486948" w14:textId="77777777" w:rsidR="00BE527C" w:rsidRPr="00551BC0" w:rsidRDefault="00BE527C" w:rsidP="00BE527C">
      <w:pPr>
        <w:widowControl w:val="0"/>
        <w:numPr>
          <w:ilvl w:val="1"/>
          <w:numId w:val="13"/>
        </w:numPr>
        <w:spacing w:after="120" w:line="276" w:lineRule="auto"/>
        <w:ind w:left="709" w:hanging="715"/>
        <w:jc w:val="both"/>
        <w:rPr>
          <w:rFonts w:cs="Arial"/>
        </w:rPr>
      </w:pPr>
      <w:r w:rsidRPr="00476809">
        <w:rPr>
          <w:rFonts w:cs="Arial"/>
        </w:rPr>
        <w:t>Approval of the remuneration of the auditors and terms of engagement, following recommendations from the Audit Committee.</w:t>
      </w:r>
    </w:p>
    <w:p w14:paraId="3AFBDB94" w14:textId="77777777" w:rsidR="00BE527C" w:rsidRDefault="00BE527C" w:rsidP="00BE527C">
      <w:pPr>
        <w:pStyle w:val="Heading2"/>
      </w:pPr>
      <w:r>
        <w:t>Remuneration</w:t>
      </w:r>
    </w:p>
    <w:p w14:paraId="6B23904F"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Determin</w:t>
      </w:r>
      <w:r>
        <w:rPr>
          <w:rFonts w:cs="Arial"/>
        </w:rPr>
        <w:t>e</w:t>
      </w:r>
      <w:r w:rsidRPr="00476809">
        <w:rPr>
          <w:rFonts w:cs="Arial"/>
        </w:rPr>
        <w:t xml:space="preserve"> the remuneration policy, level of remuneration and terms of appointment for the Executive Directors and the Company Chair to be delegated to the Remuneration Committee.</w:t>
      </w:r>
    </w:p>
    <w:p w14:paraId="4E6414D8" w14:textId="77777777" w:rsidR="00BE527C" w:rsidRDefault="00BE527C" w:rsidP="00BE527C">
      <w:pPr>
        <w:widowControl w:val="0"/>
        <w:numPr>
          <w:ilvl w:val="1"/>
          <w:numId w:val="13"/>
        </w:numPr>
        <w:spacing w:after="120" w:line="276" w:lineRule="auto"/>
        <w:ind w:left="709" w:hanging="709"/>
        <w:jc w:val="both"/>
        <w:rPr>
          <w:rFonts w:cs="Arial"/>
        </w:rPr>
      </w:pPr>
      <w:r w:rsidRPr="00476809">
        <w:rPr>
          <w:rFonts w:cs="Arial"/>
        </w:rPr>
        <w:lastRenderedPageBreak/>
        <w:t>Approval of the policy level of remuneration and terms of appointment of non-Executive Directors on the recommendation of the Executive Directors and the Company Chair.</w:t>
      </w:r>
      <w:r w:rsidRPr="00551BC0">
        <w:rPr>
          <w:rFonts w:cs="Arial"/>
        </w:rPr>
        <w:t xml:space="preserve"> </w:t>
      </w:r>
    </w:p>
    <w:p w14:paraId="70807CE8" w14:textId="77777777" w:rsidR="00BE527C" w:rsidRPr="00551BC0" w:rsidRDefault="00BE527C" w:rsidP="00BE527C">
      <w:pPr>
        <w:widowControl w:val="0"/>
        <w:numPr>
          <w:ilvl w:val="1"/>
          <w:numId w:val="13"/>
        </w:numPr>
        <w:spacing w:after="120" w:line="276" w:lineRule="auto"/>
        <w:ind w:left="709" w:hanging="709"/>
        <w:jc w:val="both"/>
        <w:rPr>
          <w:rFonts w:cs="Arial"/>
        </w:rPr>
      </w:pPr>
      <w:r w:rsidRPr="00476809">
        <w:rPr>
          <w:rFonts w:cs="Arial"/>
        </w:rPr>
        <w:t>Set the level of remuneration for members of the Group Executive Committee to be delegated to the Remuneration Committee.</w:t>
      </w:r>
    </w:p>
    <w:p w14:paraId="0C44B357" w14:textId="77777777" w:rsidR="00BE527C" w:rsidRDefault="00BE527C" w:rsidP="00BE527C">
      <w:pPr>
        <w:pStyle w:val="Heading2"/>
      </w:pPr>
      <w:r>
        <w:t xml:space="preserve">Board operations </w:t>
      </w:r>
    </w:p>
    <w:p w14:paraId="42A0C92D" w14:textId="77777777" w:rsidR="00BE527C" w:rsidRPr="00476809" w:rsidRDefault="00BE527C" w:rsidP="00BE527C">
      <w:pPr>
        <w:widowControl w:val="0"/>
        <w:numPr>
          <w:ilvl w:val="1"/>
          <w:numId w:val="13"/>
        </w:numPr>
        <w:spacing w:after="120" w:line="276" w:lineRule="auto"/>
        <w:ind w:left="709" w:hanging="709"/>
        <w:jc w:val="both"/>
        <w:rPr>
          <w:rFonts w:cs="Arial"/>
        </w:rPr>
      </w:pPr>
      <w:r w:rsidRPr="00476809">
        <w:rPr>
          <w:rFonts w:cs="Arial"/>
        </w:rPr>
        <w:t>Review of the Group’s overall corporate governance arrangements.</w:t>
      </w:r>
    </w:p>
    <w:p w14:paraId="2D52A282" w14:textId="77777777" w:rsidR="00BE527C" w:rsidRPr="00476809" w:rsidRDefault="00BE527C" w:rsidP="00BE527C">
      <w:pPr>
        <w:widowControl w:val="0"/>
        <w:numPr>
          <w:ilvl w:val="1"/>
          <w:numId w:val="13"/>
        </w:numPr>
        <w:spacing w:after="120" w:line="276" w:lineRule="auto"/>
        <w:ind w:left="709" w:hanging="709"/>
        <w:jc w:val="both"/>
        <w:rPr>
          <w:rFonts w:cs="Arial"/>
        </w:rPr>
      </w:pPr>
      <w:r>
        <w:rPr>
          <w:rFonts w:cs="Arial"/>
        </w:rPr>
        <w:t>Conduct a p</w:t>
      </w:r>
      <w:r w:rsidRPr="00476809">
        <w:rPr>
          <w:rFonts w:cs="Arial"/>
        </w:rPr>
        <w:t xml:space="preserve">erformance </w:t>
      </w:r>
      <w:r>
        <w:rPr>
          <w:rFonts w:cs="Arial"/>
        </w:rPr>
        <w:t>review</w:t>
      </w:r>
      <w:r w:rsidRPr="00476809">
        <w:rPr>
          <w:rFonts w:cs="Arial"/>
        </w:rPr>
        <w:t xml:space="preserve"> of the Board</w:t>
      </w:r>
      <w:r>
        <w:rPr>
          <w:rFonts w:cs="Arial"/>
        </w:rPr>
        <w:t>,</w:t>
      </w:r>
      <w:r w:rsidRPr="00476809">
        <w:rPr>
          <w:rFonts w:cs="Arial"/>
        </w:rPr>
        <w:t xml:space="preserve"> its committees</w:t>
      </w:r>
      <w:r>
        <w:rPr>
          <w:rFonts w:cs="Arial"/>
        </w:rPr>
        <w:t>,</w:t>
      </w:r>
      <w:r w:rsidRPr="00476809">
        <w:rPr>
          <w:rFonts w:cs="Arial"/>
        </w:rPr>
        <w:t xml:space="preserve"> and individual directors at least once each year.</w:t>
      </w:r>
    </w:p>
    <w:p w14:paraId="563122ED" w14:textId="77777777" w:rsidR="00BE527C" w:rsidRDefault="00BE527C" w:rsidP="00BE527C">
      <w:pPr>
        <w:widowControl w:val="0"/>
        <w:numPr>
          <w:ilvl w:val="1"/>
          <w:numId w:val="13"/>
        </w:numPr>
        <w:spacing w:after="120" w:line="276" w:lineRule="auto"/>
        <w:ind w:left="709" w:hanging="709"/>
        <w:jc w:val="both"/>
        <w:rPr>
          <w:rFonts w:cs="Arial"/>
        </w:rPr>
      </w:pPr>
      <w:r w:rsidRPr="00476809">
        <w:rPr>
          <w:rFonts w:cs="Arial"/>
        </w:rPr>
        <w:t>Review engagement mechanisms with shareholders</w:t>
      </w:r>
      <w:r>
        <w:rPr>
          <w:rFonts w:cs="Arial"/>
        </w:rPr>
        <w:t xml:space="preserve"> and SSE’s key stakeholders </w:t>
      </w:r>
      <w:r w:rsidRPr="00476809">
        <w:rPr>
          <w:rFonts w:cs="Arial"/>
        </w:rPr>
        <w:t>to ensure they remain effective</w:t>
      </w:r>
      <w:r>
        <w:rPr>
          <w:rFonts w:cs="Arial"/>
        </w:rPr>
        <w:t xml:space="preserve"> and provide effective oversight of issues material to each group</w:t>
      </w:r>
      <w:r w:rsidRPr="00476809">
        <w:rPr>
          <w:rFonts w:cs="Arial"/>
        </w:rPr>
        <w:t xml:space="preserve">. </w:t>
      </w:r>
    </w:p>
    <w:p w14:paraId="3615C5CD" w14:textId="77777777" w:rsidR="00BE527C" w:rsidRPr="00476809" w:rsidRDefault="00BE527C" w:rsidP="009A7697">
      <w:pPr>
        <w:widowControl w:val="0"/>
        <w:numPr>
          <w:ilvl w:val="1"/>
          <w:numId w:val="13"/>
        </w:numPr>
        <w:spacing w:after="120" w:line="276" w:lineRule="auto"/>
        <w:ind w:left="0" w:firstLine="0"/>
        <w:jc w:val="both"/>
        <w:rPr>
          <w:rFonts w:cs="Arial"/>
        </w:rPr>
      </w:pPr>
      <w:r w:rsidRPr="00476809">
        <w:rPr>
          <w:rFonts w:cs="Arial"/>
        </w:rPr>
        <w:t>The formulation of policy regarding charitable donations.</w:t>
      </w:r>
    </w:p>
    <w:p w14:paraId="7C520BEE" w14:textId="77777777" w:rsidR="00BE527C" w:rsidRPr="004E28C7" w:rsidRDefault="00BE527C" w:rsidP="009A7697">
      <w:pPr>
        <w:widowControl w:val="0"/>
        <w:numPr>
          <w:ilvl w:val="1"/>
          <w:numId w:val="13"/>
        </w:numPr>
        <w:spacing w:after="120" w:line="276" w:lineRule="auto"/>
        <w:ind w:left="0" w:firstLine="0"/>
        <w:jc w:val="both"/>
        <w:rPr>
          <w:rFonts w:cs="Arial"/>
        </w:rPr>
      </w:pPr>
      <w:r w:rsidRPr="00476809">
        <w:rPr>
          <w:rFonts w:cs="Arial"/>
        </w:rPr>
        <w:t>The making of any political donations.</w:t>
      </w:r>
    </w:p>
    <w:p w14:paraId="72A0AE15" w14:textId="77777777" w:rsidR="00BE527C" w:rsidRPr="00AD38A4" w:rsidRDefault="00BE527C" w:rsidP="6A0F81BB">
      <w:pPr>
        <w:widowControl w:val="0"/>
        <w:numPr>
          <w:ilvl w:val="1"/>
          <w:numId w:val="13"/>
        </w:numPr>
        <w:spacing w:after="120" w:line="276" w:lineRule="auto"/>
        <w:ind w:left="709" w:hanging="709"/>
        <w:jc w:val="both"/>
        <w:rPr>
          <w:rFonts w:cs="Arial"/>
        </w:rPr>
      </w:pPr>
      <w:r w:rsidRPr="6A0F81BB">
        <w:rPr>
          <w:rFonts w:cs="Arial"/>
        </w:rPr>
        <w:t>Review and approve annually the contents of the Board Charter.</w:t>
      </w:r>
    </w:p>
    <w:p w14:paraId="194348F4" w14:textId="77777777" w:rsidR="00BE527C" w:rsidRPr="008470E9" w:rsidRDefault="00BE527C" w:rsidP="00757654">
      <w:pPr>
        <w:pStyle w:val="Heading1"/>
        <w:numPr>
          <w:ilvl w:val="0"/>
          <w:numId w:val="21"/>
        </w:numPr>
        <w:rPr>
          <w:color w:val="002D72" w:themeColor="text2"/>
        </w:rPr>
      </w:pPr>
      <w:r w:rsidRPr="008470E9">
        <w:rPr>
          <w:color w:val="002D72" w:themeColor="text2"/>
        </w:rPr>
        <w:t xml:space="preserve">Shareholder notifications </w:t>
      </w:r>
    </w:p>
    <w:p w14:paraId="0C81B044" w14:textId="77777777" w:rsidR="00EE0C82" w:rsidRPr="00EE0C82" w:rsidRDefault="00EE0C82" w:rsidP="00EE0C82">
      <w:pPr>
        <w:pStyle w:val="ListParagraph"/>
        <w:widowControl w:val="0"/>
        <w:numPr>
          <w:ilvl w:val="0"/>
          <w:numId w:val="13"/>
        </w:numPr>
        <w:spacing w:after="120" w:line="276" w:lineRule="auto"/>
        <w:contextualSpacing w:val="0"/>
        <w:jc w:val="both"/>
        <w:rPr>
          <w:rFonts w:cs="Arial"/>
          <w:vanish/>
        </w:rPr>
      </w:pPr>
    </w:p>
    <w:p w14:paraId="06218B8A" w14:textId="273A8EB6" w:rsidR="00BE527C" w:rsidRPr="003C0101" w:rsidRDefault="00BE527C" w:rsidP="00EE0C82">
      <w:pPr>
        <w:widowControl w:val="0"/>
        <w:numPr>
          <w:ilvl w:val="1"/>
          <w:numId w:val="13"/>
        </w:numPr>
        <w:spacing w:after="120" w:line="276" w:lineRule="auto"/>
        <w:jc w:val="both"/>
        <w:rPr>
          <w:rFonts w:cs="Arial"/>
        </w:rPr>
      </w:pPr>
      <w:r w:rsidRPr="6A0F81BB">
        <w:rPr>
          <w:rFonts w:cs="Arial"/>
        </w:rPr>
        <w:t>Approval of all resolutions and related documentation to be put forward to shareholders at a general meeting.</w:t>
      </w:r>
    </w:p>
    <w:p w14:paraId="4FF2E58E" w14:textId="77777777" w:rsidR="00BE527C" w:rsidRPr="003C0101" w:rsidRDefault="00BE527C" w:rsidP="00BE527C">
      <w:pPr>
        <w:widowControl w:val="0"/>
        <w:numPr>
          <w:ilvl w:val="1"/>
          <w:numId w:val="13"/>
        </w:numPr>
        <w:spacing w:after="120" w:line="276" w:lineRule="auto"/>
        <w:ind w:left="709" w:hanging="709"/>
        <w:jc w:val="both"/>
        <w:rPr>
          <w:rFonts w:cs="Arial"/>
        </w:rPr>
      </w:pPr>
      <w:r w:rsidRPr="003C0101">
        <w:rPr>
          <w:rFonts w:cs="Arial"/>
        </w:rPr>
        <w:t>Approval of all circulars (including listing particulars) to shareholders.</w:t>
      </w:r>
    </w:p>
    <w:p w14:paraId="345D49CF" w14:textId="77777777" w:rsidR="00BE527C" w:rsidRPr="00476809" w:rsidRDefault="00BE527C" w:rsidP="00471A00">
      <w:pPr>
        <w:pStyle w:val="Heading1"/>
        <w:numPr>
          <w:ilvl w:val="0"/>
          <w:numId w:val="21"/>
        </w:numPr>
      </w:pPr>
      <w:r w:rsidRPr="00476809">
        <w:t>Schedule of reserved matters</w:t>
      </w:r>
    </w:p>
    <w:p w14:paraId="79E56024" w14:textId="77777777" w:rsidR="00BE527C" w:rsidRPr="000E0726" w:rsidRDefault="00BE527C" w:rsidP="00BE527C">
      <w:pPr>
        <w:pStyle w:val="ListParagraph"/>
        <w:widowControl w:val="0"/>
        <w:numPr>
          <w:ilvl w:val="0"/>
          <w:numId w:val="13"/>
        </w:numPr>
        <w:spacing w:after="120" w:line="276" w:lineRule="auto"/>
        <w:contextualSpacing w:val="0"/>
        <w:jc w:val="both"/>
        <w:rPr>
          <w:rFonts w:cs="Arial"/>
          <w:vanish/>
        </w:rPr>
      </w:pPr>
    </w:p>
    <w:p w14:paraId="6FA62C07" w14:textId="77777777" w:rsidR="00BE527C" w:rsidRDefault="00BE527C" w:rsidP="00BE527C">
      <w:pPr>
        <w:widowControl w:val="0"/>
        <w:numPr>
          <w:ilvl w:val="1"/>
          <w:numId w:val="13"/>
        </w:numPr>
        <w:spacing w:after="120" w:line="276" w:lineRule="auto"/>
        <w:ind w:left="788"/>
        <w:jc w:val="both"/>
        <w:rPr>
          <w:rFonts w:cs="Arial"/>
        </w:rPr>
      </w:pPr>
      <w:r w:rsidRPr="00476809">
        <w:rPr>
          <w:rFonts w:cs="Arial"/>
        </w:rPr>
        <w:t>Approval of this schedule of reserved matters.</w:t>
      </w:r>
    </w:p>
    <w:p w14:paraId="54F3F88F" w14:textId="335CBE26" w:rsidR="00BE527C" w:rsidRPr="000E0726" w:rsidRDefault="00221D00" w:rsidP="00471A00">
      <w:pPr>
        <w:pStyle w:val="Heading1"/>
        <w:numPr>
          <w:ilvl w:val="0"/>
          <w:numId w:val="21"/>
        </w:numPr>
      </w:pPr>
      <w:r>
        <w:t>D</w:t>
      </w:r>
      <w:r w:rsidR="00BE527C" w:rsidRPr="000E0726">
        <w:t>ecisions between meetings</w:t>
      </w:r>
    </w:p>
    <w:p w14:paraId="062A860F" w14:textId="77777777" w:rsidR="0000157E" w:rsidRPr="0000157E" w:rsidRDefault="0000157E" w:rsidP="0000157E">
      <w:pPr>
        <w:pStyle w:val="ListParagraph"/>
        <w:widowControl w:val="0"/>
        <w:numPr>
          <w:ilvl w:val="0"/>
          <w:numId w:val="13"/>
        </w:numPr>
        <w:spacing w:after="120" w:line="276" w:lineRule="auto"/>
        <w:contextualSpacing w:val="0"/>
        <w:jc w:val="both"/>
        <w:rPr>
          <w:rFonts w:cs="Arial"/>
          <w:vanish/>
        </w:rPr>
      </w:pPr>
    </w:p>
    <w:p w14:paraId="65765CBB" w14:textId="1B5AD1AC" w:rsidR="0006232A" w:rsidRPr="0000157E" w:rsidRDefault="00BE527C" w:rsidP="0000157E">
      <w:pPr>
        <w:widowControl w:val="0"/>
        <w:numPr>
          <w:ilvl w:val="1"/>
          <w:numId w:val="13"/>
        </w:numPr>
        <w:spacing w:after="120" w:line="276" w:lineRule="auto"/>
        <w:jc w:val="both"/>
        <w:rPr>
          <w:rFonts w:cs="Arial"/>
          <w:b/>
        </w:rPr>
      </w:pPr>
      <w:proofErr w:type="gramStart"/>
      <w:r w:rsidRPr="00476809">
        <w:rPr>
          <w:rFonts w:cs="Arial"/>
        </w:rPr>
        <w:t>For the purpose of</w:t>
      </w:r>
      <w:proofErr w:type="gramEnd"/>
      <w:r w:rsidRPr="00476809">
        <w:rPr>
          <w:rFonts w:cs="Arial"/>
        </w:rPr>
        <w:t xml:space="preserve"> decisions on all matters arising from the above Schedule of Reserved Matters. Where a decision is required prior to the next scheduled Board Meeting, approval will be by </w:t>
      </w:r>
      <w:proofErr w:type="gramStart"/>
      <w:r w:rsidRPr="00476809">
        <w:rPr>
          <w:rFonts w:cs="Arial"/>
        </w:rPr>
        <w:t>a majority of</w:t>
      </w:r>
      <w:proofErr w:type="gramEnd"/>
      <w:r w:rsidRPr="00476809">
        <w:rPr>
          <w:rFonts w:cs="Arial"/>
        </w:rPr>
        <w:t xml:space="preserve"> the Directors, which must include one Executive Director, in writing or by phone or video conference or email and recorded by the Company Secretary or their nominee. There shall also be a report to the next Board Meeting on the reserved matter.</w:t>
      </w:r>
      <w:bookmarkEnd w:id="0"/>
    </w:p>
    <w:p w14:paraId="67A73D26" w14:textId="27F1F9CB" w:rsidR="0000157E" w:rsidRDefault="0000157E" w:rsidP="0000157E">
      <w:pPr>
        <w:pStyle w:val="Heading1"/>
        <w:numPr>
          <w:ilvl w:val="0"/>
          <w:numId w:val="13"/>
        </w:numPr>
      </w:pPr>
      <w:r>
        <w:t>Other</w:t>
      </w:r>
    </w:p>
    <w:p w14:paraId="1B5A26B0" w14:textId="68EA8E6C" w:rsidR="0000157E" w:rsidRPr="0000157E" w:rsidRDefault="0000157E" w:rsidP="0000157E">
      <w:pPr>
        <w:pStyle w:val="ListParagraph"/>
        <w:numPr>
          <w:ilvl w:val="1"/>
          <w:numId w:val="13"/>
        </w:numPr>
      </w:pPr>
      <w:r>
        <w:t xml:space="preserve">This document operates in conjunction with complimentary frameworks and escalation pathways within SSE’s Governance Framework. </w:t>
      </w:r>
    </w:p>
    <w:sectPr w:rsidR="0000157E" w:rsidRPr="0000157E" w:rsidSect="00F40342">
      <w:headerReference w:type="default" r:id="rId11"/>
      <w:footerReference w:type="default" r:id="rId12"/>
      <w:pgSz w:w="11906" w:h="16838" w:code="9"/>
      <w:pgMar w:top="851" w:right="851" w:bottom="1134" w:left="851"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6C8A" w14:textId="77777777" w:rsidR="007716EA" w:rsidRDefault="007716EA" w:rsidP="004C29A6">
      <w:pPr>
        <w:spacing w:after="0" w:line="240" w:lineRule="auto"/>
      </w:pPr>
      <w:r>
        <w:separator/>
      </w:r>
    </w:p>
  </w:endnote>
  <w:endnote w:type="continuationSeparator" w:id="0">
    <w:p w14:paraId="4A257EE0" w14:textId="77777777" w:rsidR="007716EA" w:rsidRDefault="007716EA" w:rsidP="004C29A6">
      <w:pPr>
        <w:spacing w:after="0" w:line="240" w:lineRule="auto"/>
      </w:pPr>
      <w:r>
        <w:continuationSeparator/>
      </w:r>
    </w:p>
  </w:endnote>
  <w:endnote w:type="continuationNotice" w:id="1">
    <w:p w14:paraId="475530A0" w14:textId="77777777" w:rsidR="007716EA" w:rsidRDefault="00771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20" w:type="pct"/>
      <w:jc w:val="center"/>
      <w:tblLayout w:type="fixed"/>
      <w:tblCellMar>
        <w:top w:w="28" w:type="dxa"/>
        <w:bottom w:w="28" w:type="dxa"/>
      </w:tblCellMar>
      <w:tblLook w:val="0000" w:firstRow="0" w:lastRow="0" w:firstColumn="0" w:lastColumn="0" w:noHBand="0" w:noVBand="0"/>
    </w:tblPr>
    <w:tblGrid>
      <w:gridCol w:w="3400"/>
      <w:gridCol w:w="3647"/>
      <w:gridCol w:w="3402"/>
    </w:tblGrid>
    <w:tr w:rsidR="00E47DAE" w:rsidRPr="00A22725" w14:paraId="42B8EEC5" w14:textId="77777777" w:rsidTr="00E47DAE">
      <w:trPr>
        <w:cantSplit/>
        <w:jc w:val="center"/>
      </w:trPr>
      <w:tc>
        <w:tcPr>
          <w:tcW w:w="1627" w:type="pct"/>
          <w:shd w:val="clear" w:color="auto" w:fill="auto"/>
          <w:vAlign w:val="center"/>
        </w:tcPr>
        <w:p w14:paraId="06CED76E" w14:textId="2C35964E" w:rsidR="00E47DAE" w:rsidRPr="001A5F09" w:rsidRDefault="00721074" w:rsidP="00E47DAE">
          <w:pPr>
            <w:pStyle w:val="Footer"/>
            <w:rPr>
              <w:rFonts w:cs="Arial"/>
              <w:sz w:val="20"/>
              <w:szCs w:val="20"/>
            </w:rPr>
          </w:pPr>
          <w:r>
            <w:rPr>
              <w:rFonts w:cs="Arial"/>
              <w:sz w:val="20"/>
              <w:szCs w:val="20"/>
            </w:rPr>
            <w:t>April 2024</w:t>
          </w:r>
        </w:p>
      </w:tc>
      <w:tc>
        <w:tcPr>
          <w:tcW w:w="1745" w:type="pct"/>
          <w:shd w:val="clear" w:color="auto" w:fill="auto"/>
          <w:vAlign w:val="center"/>
        </w:tcPr>
        <w:p w14:paraId="482B56CD" w14:textId="77777777" w:rsidR="00E47DAE" w:rsidRPr="001A5F09" w:rsidRDefault="00E47DAE" w:rsidP="00E47DAE">
          <w:pPr>
            <w:pStyle w:val="Footer"/>
            <w:jc w:val="center"/>
            <w:rPr>
              <w:rFonts w:cs="Arial"/>
              <w:sz w:val="20"/>
              <w:szCs w:val="20"/>
            </w:rPr>
          </w:pPr>
          <w:r w:rsidRPr="001A5F09">
            <w:rPr>
              <w:rStyle w:val="PageNumber"/>
              <w:rFonts w:cs="Arial"/>
              <w:sz w:val="20"/>
              <w:szCs w:val="20"/>
            </w:rPr>
            <w:t xml:space="preserve">Page </w:t>
          </w:r>
          <w:r w:rsidRPr="001A5F09">
            <w:rPr>
              <w:rStyle w:val="PageNumber"/>
              <w:rFonts w:cs="Arial"/>
              <w:sz w:val="20"/>
              <w:szCs w:val="20"/>
            </w:rPr>
            <w:fldChar w:fldCharType="begin"/>
          </w:r>
          <w:r w:rsidRPr="001A5F09">
            <w:rPr>
              <w:rStyle w:val="PageNumber"/>
              <w:rFonts w:cs="Arial"/>
              <w:sz w:val="20"/>
              <w:szCs w:val="20"/>
            </w:rPr>
            <w:instrText xml:space="preserve"> PAGE </w:instrText>
          </w:r>
          <w:r w:rsidRPr="001A5F09">
            <w:rPr>
              <w:rStyle w:val="PageNumber"/>
              <w:rFonts w:cs="Arial"/>
              <w:sz w:val="20"/>
              <w:szCs w:val="20"/>
            </w:rPr>
            <w:fldChar w:fldCharType="separate"/>
          </w:r>
          <w:r w:rsidRPr="001A5F09">
            <w:rPr>
              <w:rStyle w:val="PageNumber"/>
              <w:rFonts w:cs="Arial"/>
              <w:noProof/>
              <w:sz w:val="20"/>
              <w:szCs w:val="20"/>
            </w:rPr>
            <w:t>5</w:t>
          </w:r>
          <w:r w:rsidRPr="001A5F09">
            <w:rPr>
              <w:rStyle w:val="PageNumber"/>
              <w:rFonts w:cs="Arial"/>
              <w:sz w:val="20"/>
              <w:szCs w:val="20"/>
            </w:rPr>
            <w:fldChar w:fldCharType="end"/>
          </w:r>
          <w:r w:rsidRPr="001A5F09">
            <w:rPr>
              <w:rStyle w:val="PageNumber"/>
              <w:rFonts w:cs="Arial"/>
              <w:sz w:val="20"/>
              <w:szCs w:val="20"/>
            </w:rPr>
            <w:t xml:space="preserve"> of </w:t>
          </w:r>
          <w:r w:rsidRPr="001A5F09">
            <w:rPr>
              <w:rStyle w:val="PageNumber"/>
              <w:rFonts w:cs="Arial"/>
              <w:sz w:val="20"/>
              <w:szCs w:val="20"/>
            </w:rPr>
            <w:fldChar w:fldCharType="begin"/>
          </w:r>
          <w:r w:rsidRPr="001A5F09">
            <w:rPr>
              <w:rStyle w:val="PageNumber"/>
              <w:rFonts w:cs="Arial"/>
              <w:sz w:val="20"/>
              <w:szCs w:val="20"/>
            </w:rPr>
            <w:instrText xml:space="preserve"> NUMPAGES </w:instrText>
          </w:r>
          <w:r w:rsidRPr="001A5F09">
            <w:rPr>
              <w:rStyle w:val="PageNumber"/>
              <w:rFonts w:cs="Arial"/>
              <w:sz w:val="20"/>
              <w:szCs w:val="20"/>
            </w:rPr>
            <w:fldChar w:fldCharType="separate"/>
          </w:r>
          <w:r w:rsidRPr="001A5F09">
            <w:rPr>
              <w:rStyle w:val="PageNumber"/>
              <w:rFonts w:cs="Arial"/>
              <w:noProof/>
              <w:sz w:val="20"/>
              <w:szCs w:val="20"/>
            </w:rPr>
            <w:t>5</w:t>
          </w:r>
          <w:r w:rsidRPr="001A5F09">
            <w:rPr>
              <w:rStyle w:val="PageNumber"/>
              <w:rFonts w:cs="Arial"/>
              <w:sz w:val="20"/>
              <w:szCs w:val="20"/>
            </w:rPr>
            <w:fldChar w:fldCharType="end"/>
          </w:r>
        </w:p>
      </w:tc>
      <w:tc>
        <w:tcPr>
          <w:tcW w:w="1628" w:type="pct"/>
          <w:shd w:val="clear" w:color="auto" w:fill="auto"/>
          <w:vAlign w:val="center"/>
        </w:tcPr>
        <w:p w14:paraId="41ADC705" w14:textId="77777777" w:rsidR="00E47DAE" w:rsidRPr="00A22725" w:rsidRDefault="00E47DAE" w:rsidP="00E47DAE">
          <w:pPr>
            <w:pStyle w:val="Footer"/>
            <w:jc w:val="right"/>
          </w:pPr>
        </w:p>
      </w:tc>
    </w:tr>
    <w:tr w:rsidR="00E47DAE" w:rsidRPr="00A22725" w14:paraId="251826AC" w14:textId="77777777" w:rsidTr="00E47DAE">
      <w:trPr>
        <w:cantSplit/>
        <w:trHeight w:val="683"/>
        <w:jc w:val="center"/>
      </w:trPr>
      <w:tc>
        <w:tcPr>
          <w:tcW w:w="1627" w:type="pct"/>
          <w:shd w:val="clear" w:color="auto" w:fill="auto"/>
          <w:vAlign w:val="center"/>
        </w:tcPr>
        <w:p w14:paraId="4BACE13E" w14:textId="77777777" w:rsidR="00E47DAE" w:rsidRDefault="00E47DAE" w:rsidP="00E47DAE">
          <w:pPr>
            <w:pStyle w:val="Footer"/>
          </w:pPr>
        </w:p>
      </w:tc>
      <w:tc>
        <w:tcPr>
          <w:tcW w:w="1745" w:type="pct"/>
          <w:shd w:val="clear" w:color="auto" w:fill="auto"/>
          <w:vAlign w:val="center"/>
        </w:tcPr>
        <w:p w14:paraId="4249F405" w14:textId="77777777" w:rsidR="00E47DAE" w:rsidRPr="00727974" w:rsidRDefault="00E47DAE" w:rsidP="00E47DAE">
          <w:pPr>
            <w:pStyle w:val="Footer"/>
            <w:tabs>
              <w:tab w:val="clear" w:pos="4513"/>
              <w:tab w:val="center" w:pos="4500"/>
              <w:tab w:val="left" w:pos="4860"/>
              <w:tab w:val="left" w:pos="8100"/>
            </w:tabs>
            <w:jc w:val="center"/>
            <w:rPr>
              <w:rFonts w:cs="Arial"/>
              <w:color w:val="808080"/>
              <w:sz w:val="18"/>
              <w:szCs w:val="18"/>
            </w:rPr>
          </w:pPr>
        </w:p>
      </w:tc>
      <w:tc>
        <w:tcPr>
          <w:tcW w:w="1628" w:type="pct"/>
          <w:shd w:val="clear" w:color="auto" w:fill="auto"/>
          <w:vAlign w:val="center"/>
        </w:tcPr>
        <w:p w14:paraId="2A233E42" w14:textId="77777777" w:rsidR="00E47DAE" w:rsidRDefault="00E47DAE" w:rsidP="00E47DAE">
          <w:pPr>
            <w:pStyle w:val="Footer"/>
            <w:jc w:val="right"/>
            <w:rPr>
              <w:rStyle w:val="PageNumber"/>
            </w:rPr>
          </w:pPr>
        </w:p>
      </w:tc>
    </w:tr>
  </w:tbl>
  <w:p w14:paraId="2A904CE8" w14:textId="77777777" w:rsidR="00E47DAE" w:rsidRPr="00916D3F" w:rsidRDefault="00E47DAE" w:rsidP="00E47DAE">
    <w:pPr>
      <w:pStyle w:val="Footer"/>
      <w:tabs>
        <w:tab w:val="clear" w:pos="4513"/>
        <w:tab w:val="center" w:pos="4500"/>
        <w:tab w:val="left" w:pos="4860"/>
        <w:tab w:val="left" w:pos="81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58E04" w14:textId="77777777" w:rsidR="007716EA" w:rsidRDefault="007716EA" w:rsidP="004C29A6">
      <w:pPr>
        <w:spacing w:after="0" w:line="240" w:lineRule="auto"/>
      </w:pPr>
      <w:r>
        <w:separator/>
      </w:r>
    </w:p>
  </w:footnote>
  <w:footnote w:type="continuationSeparator" w:id="0">
    <w:p w14:paraId="0BAAFEEA" w14:textId="77777777" w:rsidR="007716EA" w:rsidRDefault="007716EA" w:rsidP="004C29A6">
      <w:pPr>
        <w:spacing w:after="0" w:line="240" w:lineRule="auto"/>
      </w:pPr>
      <w:r>
        <w:continuationSeparator/>
      </w:r>
    </w:p>
  </w:footnote>
  <w:footnote w:type="continuationNotice" w:id="1">
    <w:p w14:paraId="7C0860D4" w14:textId="77777777" w:rsidR="007716EA" w:rsidRDefault="00771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5125"/>
      <w:gridCol w:w="3486"/>
    </w:tblGrid>
    <w:tr w:rsidR="00E47DAE" w:rsidRPr="007E637F" w14:paraId="2BFAE157" w14:textId="77777777" w:rsidTr="2399B375">
      <w:trPr>
        <w:cantSplit/>
        <w:trHeight w:val="783"/>
        <w:jc w:val="center"/>
      </w:trPr>
      <w:tc>
        <w:tcPr>
          <w:tcW w:w="800" w:type="pct"/>
          <w:shd w:val="clear" w:color="auto" w:fill="auto"/>
          <w:vAlign w:val="center"/>
        </w:tcPr>
        <w:p w14:paraId="5F2770FD" w14:textId="77777777" w:rsidR="00E47DAE" w:rsidRPr="007E637F" w:rsidRDefault="00E47DAE" w:rsidP="00E47DAE">
          <w:pPr>
            <w:pStyle w:val="Header"/>
            <w:rPr>
              <w:rFonts w:cs="Arial"/>
            </w:rPr>
          </w:pPr>
          <w:r w:rsidRPr="007E637F">
            <w:rPr>
              <w:rFonts w:cs="Arial"/>
            </w:rPr>
            <w:t>Applies to:</w:t>
          </w:r>
        </w:p>
        <w:p w14:paraId="07268C7B" w14:textId="77777777" w:rsidR="00E47DAE" w:rsidRPr="007E637F" w:rsidRDefault="00E47DAE" w:rsidP="00E47DAE">
          <w:pPr>
            <w:pStyle w:val="Header"/>
            <w:rPr>
              <w:rFonts w:cs="Arial"/>
              <w:b/>
            </w:rPr>
          </w:pPr>
          <w:r>
            <w:rPr>
              <w:rFonts w:cs="Arial"/>
              <w:b/>
            </w:rPr>
            <w:t>SSE plc (All)</w:t>
          </w:r>
        </w:p>
      </w:tc>
      <w:tc>
        <w:tcPr>
          <w:tcW w:w="2537" w:type="pct"/>
          <w:shd w:val="clear" w:color="auto" w:fill="auto"/>
          <w:vAlign w:val="center"/>
        </w:tcPr>
        <w:p w14:paraId="6CE7F3BE" w14:textId="415399A6" w:rsidR="00E47DAE" w:rsidRPr="005E68FA" w:rsidRDefault="2399B375" w:rsidP="2399B375">
          <w:pPr>
            <w:spacing w:line="355" w:lineRule="exact"/>
            <w:ind w:left="20"/>
            <w:jc w:val="center"/>
            <w:rPr>
              <w:rFonts w:cs="Arial"/>
              <w:b/>
              <w:bCs/>
              <w:color w:val="7F7F7F"/>
            </w:rPr>
          </w:pPr>
          <w:r w:rsidRPr="2399B375">
            <w:rPr>
              <w:rFonts w:cs="Arial"/>
              <w:b/>
              <w:bCs/>
              <w:color w:val="7F7F7F"/>
            </w:rPr>
            <w:t>SCHEDULE</w:t>
          </w:r>
          <w:r w:rsidRPr="2399B375">
            <w:rPr>
              <w:rFonts w:cs="Arial"/>
              <w:b/>
              <w:bCs/>
              <w:color w:val="7F7F7F"/>
              <w:spacing w:val="-9"/>
            </w:rPr>
            <w:t xml:space="preserve"> </w:t>
          </w:r>
          <w:r w:rsidRPr="2399B375">
            <w:rPr>
              <w:rFonts w:cs="Arial"/>
              <w:b/>
              <w:bCs/>
              <w:color w:val="7F7F7F"/>
            </w:rPr>
            <w:t>OF</w:t>
          </w:r>
          <w:r w:rsidRPr="2399B375">
            <w:rPr>
              <w:rFonts w:cs="Arial"/>
              <w:b/>
              <w:bCs/>
              <w:color w:val="7F7F7F"/>
              <w:spacing w:val="-12"/>
            </w:rPr>
            <w:t xml:space="preserve"> </w:t>
          </w:r>
          <w:r w:rsidRPr="2399B375">
            <w:rPr>
              <w:rFonts w:cs="Arial"/>
              <w:b/>
              <w:bCs/>
              <w:color w:val="7F7F7F"/>
            </w:rPr>
            <w:t>RESERVED MATTERS</w:t>
          </w:r>
          <w:r w:rsidRPr="2399B375">
            <w:rPr>
              <w:rFonts w:cs="Arial"/>
              <w:b/>
              <w:bCs/>
              <w:color w:val="7F7F7F"/>
              <w:spacing w:val="-10"/>
            </w:rPr>
            <w:t xml:space="preserve"> </w:t>
          </w:r>
          <w:r w:rsidRPr="2399B375">
            <w:rPr>
              <w:rFonts w:cs="Arial"/>
              <w:b/>
              <w:bCs/>
              <w:color w:val="7F7F7F"/>
            </w:rPr>
            <w:t>FOR</w:t>
          </w:r>
          <w:r w:rsidRPr="2399B375">
            <w:rPr>
              <w:rFonts w:cs="Arial"/>
              <w:b/>
              <w:bCs/>
              <w:color w:val="7F7F7F"/>
              <w:spacing w:val="-11"/>
            </w:rPr>
            <w:t xml:space="preserve"> </w:t>
          </w:r>
          <w:r w:rsidRPr="2399B375">
            <w:rPr>
              <w:rFonts w:cs="Arial"/>
              <w:b/>
              <w:bCs/>
              <w:color w:val="7F7F7F"/>
            </w:rPr>
            <w:t>THE</w:t>
          </w:r>
          <w:r w:rsidRPr="2399B375">
            <w:rPr>
              <w:rFonts w:cs="Arial"/>
              <w:b/>
              <w:bCs/>
              <w:color w:val="7F7F7F"/>
              <w:spacing w:val="-11"/>
            </w:rPr>
            <w:t xml:space="preserve"> </w:t>
          </w:r>
          <w:r w:rsidRPr="2399B375">
            <w:rPr>
              <w:rFonts w:cs="Arial"/>
              <w:b/>
              <w:bCs/>
              <w:color w:val="7F7F7F"/>
            </w:rPr>
            <w:t xml:space="preserve">BOARD </w:t>
          </w:r>
        </w:p>
      </w:tc>
      <w:tc>
        <w:tcPr>
          <w:tcW w:w="1663" w:type="pct"/>
          <w:shd w:val="clear" w:color="auto" w:fill="auto"/>
          <w:vAlign w:val="center"/>
        </w:tcPr>
        <w:p w14:paraId="197EAE8C" w14:textId="7B827CF9" w:rsidR="00E47DAE" w:rsidRPr="007E637F" w:rsidRDefault="00BE527C" w:rsidP="00E47DAE">
          <w:pPr>
            <w:pStyle w:val="Header"/>
            <w:jc w:val="center"/>
            <w:rPr>
              <w:rFonts w:cs="Arial"/>
              <w:b/>
              <w:sz w:val="24"/>
            </w:rPr>
          </w:pPr>
          <w:r>
            <w:rPr>
              <w:noProof/>
            </w:rPr>
            <w:drawing>
              <wp:inline distT="0" distB="0" distL="0" distR="0" wp14:anchorId="19409F2E" wp14:editId="06EADF3B">
                <wp:extent cx="2066925" cy="533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inline>
            </w:drawing>
          </w:r>
        </w:p>
      </w:tc>
    </w:tr>
    <w:tr w:rsidR="00E47DAE" w:rsidRPr="007E637F" w14:paraId="36A5AC26" w14:textId="77777777" w:rsidTr="2399B375">
      <w:trPr>
        <w:cantSplit/>
        <w:trHeight w:val="783"/>
        <w:jc w:val="center"/>
      </w:trPr>
      <w:tc>
        <w:tcPr>
          <w:tcW w:w="800" w:type="pct"/>
          <w:shd w:val="clear" w:color="auto" w:fill="auto"/>
          <w:vAlign w:val="center"/>
        </w:tcPr>
        <w:p w14:paraId="52A38E16" w14:textId="77777777" w:rsidR="00E47DAE" w:rsidRPr="007E637F" w:rsidRDefault="00E47DAE" w:rsidP="00E47DAE">
          <w:pPr>
            <w:pStyle w:val="Header"/>
            <w:rPr>
              <w:rFonts w:cs="Arial"/>
            </w:rPr>
          </w:pPr>
          <w:r w:rsidRPr="007E637F">
            <w:rPr>
              <w:rFonts w:cs="Arial"/>
            </w:rPr>
            <w:t xml:space="preserve">Classification: </w:t>
          </w:r>
          <w:r>
            <w:rPr>
              <w:rFonts w:cs="Arial"/>
            </w:rPr>
            <w:t>Public</w:t>
          </w:r>
        </w:p>
      </w:tc>
      <w:tc>
        <w:tcPr>
          <w:tcW w:w="2537" w:type="pct"/>
          <w:shd w:val="clear" w:color="auto" w:fill="auto"/>
          <w:vAlign w:val="center"/>
        </w:tcPr>
        <w:p w14:paraId="678EC6C5" w14:textId="77777777" w:rsidR="00E47DAE" w:rsidRPr="007E637F" w:rsidRDefault="00E47DAE" w:rsidP="00E47DAE">
          <w:pPr>
            <w:pStyle w:val="Header"/>
            <w:jc w:val="center"/>
            <w:rPr>
              <w:rFonts w:cs="Arial"/>
              <w:b/>
              <w:sz w:val="24"/>
            </w:rPr>
          </w:pPr>
          <w:r w:rsidRPr="007E637F">
            <w:rPr>
              <w:rFonts w:cs="Arial"/>
            </w:rPr>
            <w:t>Uncontrolled if printed</w:t>
          </w:r>
        </w:p>
      </w:tc>
      <w:tc>
        <w:tcPr>
          <w:tcW w:w="1663" w:type="pct"/>
          <w:shd w:val="clear" w:color="auto" w:fill="auto"/>
          <w:vAlign w:val="center"/>
        </w:tcPr>
        <w:p w14:paraId="6B6C592B" w14:textId="7ADF45F7" w:rsidR="00E47DAE" w:rsidRPr="007E637F" w:rsidRDefault="00A70E3A" w:rsidP="00E47DAE">
          <w:pPr>
            <w:pStyle w:val="Header"/>
            <w:jc w:val="center"/>
            <w:rPr>
              <w:rFonts w:cs="Arial"/>
              <w:b/>
              <w:sz w:val="24"/>
            </w:rPr>
          </w:pPr>
          <w:r>
            <w:rPr>
              <w:rFonts w:cs="Arial"/>
              <w:b/>
              <w:sz w:val="24"/>
            </w:rPr>
            <w:t>REF-GRP-CS-001</w:t>
          </w:r>
        </w:p>
      </w:tc>
    </w:tr>
  </w:tbl>
  <w:p w14:paraId="0CCA0C71" w14:textId="77777777" w:rsidR="00E47DAE" w:rsidRPr="007E637F" w:rsidRDefault="00E47DAE" w:rsidP="00E47DAE">
    <w:pPr>
      <w:pStyle w:val="Header"/>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6D77"/>
    <w:multiLevelType w:val="multilevel"/>
    <w:tmpl w:val="84AEA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9C1763"/>
    <w:multiLevelType w:val="hybridMultilevel"/>
    <w:tmpl w:val="C67862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06D92"/>
    <w:multiLevelType w:val="hybridMultilevel"/>
    <w:tmpl w:val="A3C2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56BA6"/>
    <w:multiLevelType w:val="multilevel"/>
    <w:tmpl w:val="7C08BC18"/>
    <w:lvl w:ilvl="0">
      <w:start w:val="6"/>
      <w:numFmt w:val="decimal"/>
      <w:lvlText w:val="%1.1."/>
      <w:lvlJc w:val="left"/>
      <w:pPr>
        <w:ind w:left="794" w:hanging="794"/>
      </w:pPr>
      <w:rPr>
        <w:rFonts w:hint="default"/>
        <w:b/>
        <w:i w:val="0"/>
      </w:rPr>
    </w:lvl>
    <w:lvl w:ilvl="1">
      <w:start w:val="6"/>
      <w:numFmt w:val="decimal"/>
      <w:lvlText w:val="%1.%2."/>
      <w:lvlJc w:val="left"/>
      <w:pPr>
        <w:ind w:left="794" w:hanging="794"/>
      </w:pPr>
      <w:rPr>
        <w:rFonts w:hint="default"/>
        <w:b/>
      </w:rPr>
    </w:lvl>
    <w:lvl w:ilvl="2">
      <w:start w:val="1"/>
      <w:numFmt w:val="decimal"/>
      <w:lvlText w:val="%1.%2.%3."/>
      <w:lvlJc w:val="left"/>
      <w:pPr>
        <w:ind w:left="794" w:firstLine="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4" w15:restartNumberingAfterBreak="0">
    <w:nsid w:val="217238DB"/>
    <w:multiLevelType w:val="hybridMultilevel"/>
    <w:tmpl w:val="B4AA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8E7B7D"/>
    <w:multiLevelType w:val="hybridMultilevel"/>
    <w:tmpl w:val="0232933E"/>
    <w:lvl w:ilvl="0" w:tplc="B930F5A2">
      <w:start w:val="1"/>
      <w:numFmt w:val="lowerLetter"/>
      <w:pStyle w:val="Heading2"/>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B7EAA"/>
    <w:multiLevelType w:val="hybridMultilevel"/>
    <w:tmpl w:val="C9E4EC7C"/>
    <w:lvl w:ilvl="0" w:tplc="2DF43594">
      <w:start w:val="1"/>
      <w:numFmt w:val="decimal"/>
      <w:lvlText w:val="%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6E7663"/>
    <w:multiLevelType w:val="hybridMultilevel"/>
    <w:tmpl w:val="1B76E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FC00C9"/>
    <w:multiLevelType w:val="multilevel"/>
    <w:tmpl w:val="F3CC6818"/>
    <w:lvl w:ilvl="0">
      <w:start w:val="6"/>
      <w:numFmt w:val="decimal"/>
      <w:lvlText w:val="%1.1"/>
      <w:lvlJc w:val="left"/>
      <w:pPr>
        <w:ind w:left="794" w:hanging="794"/>
      </w:pPr>
      <w:rPr>
        <w:rFonts w:hint="default"/>
      </w:rPr>
    </w:lvl>
    <w:lvl w:ilvl="1">
      <w:start w:val="2"/>
      <w:numFmt w:val="decimal"/>
      <w:lvlText w:val="%1.%2."/>
      <w:lvlJc w:val="left"/>
      <w:pPr>
        <w:ind w:left="794" w:hanging="794"/>
      </w:pPr>
      <w:rPr>
        <w:rFonts w:hint="default"/>
        <w:b/>
      </w:rPr>
    </w:lvl>
    <w:lvl w:ilvl="2">
      <w:start w:val="1"/>
      <w:numFmt w:val="decimal"/>
      <w:lvlText w:val="%1.%2.%3."/>
      <w:lvlJc w:val="left"/>
      <w:pPr>
        <w:ind w:left="794" w:firstLine="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9" w15:restartNumberingAfterBreak="0">
    <w:nsid w:val="3FCC2657"/>
    <w:multiLevelType w:val="multilevel"/>
    <w:tmpl w:val="342A9200"/>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10D577E"/>
    <w:multiLevelType w:val="hybridMultilevel"/>
    <w:tmpl w:val="060A2746"/>
    <w:lvl w:ilvl="0" w:tplc="EA58F756">
      <w:start w:val="1"/>
      <w:numFmt w:val="lowerLetter"/>
      <w:lvlText w:val="%1."/>
      <w:lvlJc w:val="left"/>
      <w:pPr>
        <w:ind w:left="360" w:hanging="360"/>
      </w:pPr>
      <w:rPr>
        <w:rFonts w:ascii="Arial" w:hAnsi="Arial" w:cs="Arial"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61271F"/>
    <w:multiLevelType w:val="multilevel"/>
    <w:tmpl w:val="0BCE3A7C"/>
    <w:lvl w:ilvl="0">
      <w:start w:val="1"/>
      <w:numFmt w:val="decimal"/>
      <w:lvlText w:val="%1."/>
      <w:lvlJc w:val="left"/>
      <w:pPr>
        <w:ind w:left="794" w:hanging="794"/>
      </w:pPr>
      <w:rPr>
        <w:rFonts w:hint="default"/>
        <w:color w:val="002D72"/>
      </w:rPr>
    </w:lvl>
    <w:lvl w:ilvl="1">
      <w:start w:val="1"/>
      <w:numFmt w:val="decimal"/>
      <w:lvlText w:val="%1.%2."/>
      <w:lvlJc w:val="left"/>
      <w:pPr>
        <w:ind w:left="794" w:hanging="794"/>
      </w:pPr>
      <w:rPr>
        <w:rFonts w:hint="default"/>
        <w:b/>
        <w:bCs/>
        <w:sz w:val="22"/>
        <w:szCs w:val="22"/>
      </w:rPr>
    </w:lvl>
    <w:lvl w:ilvl="2">
      <w:start w:val="1"/>
      <w:numFmt w:val="decimal"/>
      <w:lvlText w:val="%1.%2.%3."/>
      <w:lvlJc w:val="left"/>
      <w:pPr>
        <w:ind w:left="794" w:firstLine="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2" w15:restartNumberingAfterBreak="0">
    <w:nsid w:val="456F7BF9"/>
    <w:multiLevelType w:val="multilevel"/>
    <w:tmpl w:val="0BCE3A7C"/>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b/>
      </w:rPr>
    </w:lvl>
    <w:lvl w:ilvl="2">
      <w:start w:val="1"/>
      <w:numFmt w:val="decimal"/>
      <w:lvlText w:val="%1.%2.%3."/>
      <w:lvlJc w:val="left"/>
      <w:pPr>
        <w:ind w:left="794" w:firstLine="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3" w15:restartNumberingAfterBreak="0">
    <w:nsid w:val="4AF560ED"/>
    <w:multiLevelType w:val="multilevel"/>
    <w:tmpl w:val="0BCE3A7C"/>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b/>
      </w:rPr>
    </w:lvl>
    <w:lvl w:ilvl="2">
      <w:start w:val="1"/>
      <w:numFmt w:val="decimal"/>
      <w:lvlText w:val="%1.%2.%3."/>
      <w:lvlJc w:val="left"/>
      <w:pPr>
        <w:ind w:left="794" w:firstLine="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4" w15:restartNumberingAfterBreak="0">
    <w:nsid w:val="51BB427E"/>
    <w:multiLevelType w:val="hybridMultilevel"/>
    <w:tmpl w:val="F67825B6"/>
    <w:lvl w:ilvl="0" w:tplc="0809000F">
      <w:start w:val="1"/>
      <w:numFmt w:val="decimal"/>
      <w:lvlText w:val="%1."/>
      <w:lvlJc w:val="left"/>
      <w:pPr>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4E301E"/>
    <w:multiLevelType w:val="hybridMultilevel"/>
    <w:tmpl w:val="39FA7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922BED"/>
    <w:multiLevelType w:val="hybridMultilevel"/>
    <w:tmpl w:val="D9169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4B73D3"/>
    <w:multiLevelType w:val="hybridMultilevel"/>
    <w:tmpl w:val="7ED40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4A21D5"/>
    <w:multiLevelType w:val="hybridMultilevel"/>
    <w:tmpl w:val="4E1E2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346DB6"/>
    <w:multiLevelType w:val="hybridMultilevel"/>
    <w:tmpl w:val="5A781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653485"/>
    <w:multiLevelType w:val="multilevel"/>
    <w:tmpl w:val="0232933E"/>
    <w:lvl w:ilvl="0">
      <w:start w:val="1"/>
      <w:numFmt w:val="lowerLetter"/>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D1414C"/>
    <w:multiLevelType w:val="hybridMultilevel"/>
    <w:tmpl w:val="63423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8801503">
    <w:abstractNumId w:val="9"/>
  </w:num>
  <w:num w:numId="2" w16cid:durableId="1196500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9621762">
    <w:abstractNumId w:val="10"/>
  </w:num>
  <w:num w:numId="4" w16cid:durableId="2103795277">
    <w:abstractNumId w:val="19"/>
  </w:num>
  <w:num w:numId="5" w16cid:durableId="102040281">
    <w:abstractNumId w:val="18"/>
  </w:num>
  <w:num w:numId="6" w16cid:durableId="834686560">
    <w:abstractNumId w:val="1"/>
  </w:num>
  <w:num w:numId="7" w16cid:durableId="239684579">
    <w:abstractNumId w:val="14"/>
  </w:num>
  <w:num w:numId="8" w16cid:durableId="1372144323">
    <w:abstractNumId w:val="21"/>
  </w:num>
  <w:num w:numId="9" w16cid:durableId="27798518">
    <w:abstractNumId w:val="7"/>
  </w:num>
  <w:num w:numId="10" w16cid:durableId="1202480490">
    <w:abstractNumId w:val="16"/>
  </w:num>
  <w:num w:numId="11" w16cid:durableId="277882420">
    <w:abstractNumId w:val="15"/>
  </w:num>
  <w:num w:numId="12" w16cid:durableId="1375422571">
    <w:abstractNumId w:val="11"/>
  </w:num>
  <w:num w:numId="13" w16cid:durableId="84232395">
    <w:abstractNumId w:val="13"/>
  </w:num>
  <w:num w:numId="14" w16cid:durableId="1308239433">
    <w:abstractNumId w:val="5"/>
  </w:num>
  <w:num w:numId="15" w16cid:durableId="1895122472">
    <w:abstractNumId w:val="12"/>
  </w:num>
  <w:num w:numId="16" w16cid:durableId="947158213">
    <w:abstractNumId w:val="17"/>
  </w:num>
  <w:num w:numId="17" w16cid:durableId="1813019184">
    <w:abstractNumId w:val="4"/>
  </w:num>
  <w:num w:numId="18" w16cid:durableId="1147431021">
    <w:abstractNumId w:val="2"/>
  </w:num>
  <w:num w:numId="19" w16cid:durableId="1849753860">
    <w:abstractNumId w:val="3"/>
  </w:num>
  <w:num w:numId="20" w16cid:durableId="1611819126">
    <w:abstractNumId w:val="8"/>
  </w:num>
  <w:num w:numId="21" w16cid:durableId="101993481">
    <w:abstractNumId w:val="6"/>
  </w:num>
  <w:num w:numId="22" w16cid:durableId="11183301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85"/>
    <w:rsid w:val="0000157E"/>
    <w:rsid w:val="00001BE6"/>
    <w:rsid w:val="00001BE8"/>
    <w:rsid w:val="00011619"/>
    <w:rsid w:val="00011745"/>
    <w:rsid w:val="00012155"/>
    <w:rsid w:val="00015288"/>
    <w:rsid w:val="00015689"/>
    <w:rsid w:val="000158E3"/>
    <w:rsid w:val="000223E0"/>
    <w:rsid w:val="0002267A"/>
    <w:rsid w:val="00032028"/>
    <w:rsid w:val="000337B7"/>
    <w:rsid w:val="00035D39"/>
    <w:rsid w:val="000367DE"/>
    <w:rsid w:val="00037371"/>
    <w:rsid w:val="00037F47"/>
    <w:rsid w:val="000401CC"/>
    <w:rsid w:val="000422AB"/>
    <w:rsid w:val="0004397A"/>
    <w:rsid w:val="000446FE"/>
    <w:rsid w:val="00050402"/>
    <w:rsid w:val="0005066E"/>
    <w:rsid w:val="00051FB5"/>
    <w:rsid w:val="00052590"/>
    <w:rsid w:val="00054799"/>
    <w:rsid w:val="00054A42"/>
    <w:rsid w:val="00054A94"/>
    <w:rsid w:val="00055605"/>
    <w:rsid w:val="0005612F"/>
    <w:rsid w:val="00057BE0"/>
    <w:rsid w:val="000618FC"/>
    <w:rsid w:val="0006232A"/>
    <w:rsid w:val="00064F6A"/>
    <w:rsid w:val="0006660F"/>
    <w:rsid w:val="00066F9C"/>
    <w:rsid w:val="00071BC7"/>
    <w:rsid w:val="0007389B"/>
    <w:rsid w:val="0007512F"/>
    <w:rsid w:val="00075DAC"/>
    <w:rsid w:val="00076CEE"/>
    <w:rsid w:val="000855EC"/>
    <w:rsid w:val="00085E81"/>
    <w:rsid w:val="00086224"/>
    <w:rsid w:val="0008690C"/>
    <w:rsid w:val="000903D2"/>
    <w:rsid w:val="00092B1B"/>
    <w:rsid w:val="000A39C5"/>
    <w:rsid w:val="000A47D5"/>
    <w:rsid w:val="000A64F0"/>
    <w:rsid w:val="000B0DDD"/>
    <w:rsid w:val="000B2E6D"/>
    <w:rsid w:val="000B408B"/>
    <w:rsid w:val="000B59ED"/>
    <w:rsid w:val="000B7034"/>
    <w:rsid w:val="000C10A5"/>
    <w:rsid w:val="000C12C1"/>
    <w:rsid w:val="000C3481"/>
    <w:rsid w:val="000C7E43"/>
    <w:rsid w:val="000D0599"/>
    <w:rsid w:val="000D08AC"/>
    <w:rsid w:val="000D16CE"/>
    <w:rsid w:val="000D2557"/>
    <w:rsid w:val="000D3407"/>
    <w:rsid w:val="000D3FC5"/>
    <w:rsid w:val="000E1E7D"/>
    <w:rsid w:val="000E342F"/>
    <w:rsid w:val="000E486D"/>
    <w:rsid w:val="000E63AD"/>
    <w:rsid w:val="000F2D08"/>
    <w:rsid w:val="000F572B"/>
    <w:rsid w:val="000F5F56"/>
    <w:rsid w:val="000F7844"/>
    <w:rsid w:val="000F793D"/>
    <w:rsid w:val="0010033E"/>
    <w:rsid w:val="00101E92"/>
    <w:rsid w:val="00101FA9"/>
    <w:rsid w:val="00104025"/>
    <w:rsid w:val="001047DF"/>
    <w:rsid w:val="00107DF0"/>
    <w:rsid w:val="0011108D"/>
    <w:rsid w:val="0011141F"/>
    <w:rsid w:val="00111E87"/>
    <w:rsid w:val="0011366F"/>
    <w:rsid w:val="0011750A"/>
    <w:rsid w:val="00121EDA"/>
    <w:rsid w:val="00124AD6"/>
    <w:rsid w:val="001268EF"/>
    <w:rsid w:val="00127583"/>
    <w:rsid w:val="00130387"/>
    <w:rsid w:val="0013095C"/>
    <w:rsid w:val="001312D0"/>
    <w:rsid w:val="00137119"/>
    <w:rsid w:val="0013773A"/>
    <w:rsid w:val="001405C5"/>
    <w:rsid w:val="00143F5F"/>
    <w:rsid w:val="00145BC8"/>
    <w:rsid w:val="001465B9"/>
    <w:rsid w:val="0014700B"/>
    <w:rsid w:val="0015064C"/>
    <w:rsid w:val="00151010"/>
    <w:rsid w:val="001512F1"/>
    <w:rsid w:val="00152470"/>
    <w:rsid w:val="001553A6"/>
    <w:rsid w:val="00157AA7"/>
    <w:rsid w:val="00163D7B"/>
    <w:rsid w:val="00165A73"/>
    <w:rsid w:val="00166259"/>
    <w:rsid w:val="0017055A"/>
    <w:rsid w:val="00170A14"/>
    <w:rsid w:val="00174A72"/>
    <w:rsid w:val="00176146"/>
    <w:rsid w:val="00180E42"/>
    <w:rsid w:val="00183E69"/>
    <w:rsid w:val="00184CAF"/>
    <w:rsid w:val="0018782E"/>
    <w:rsid w:val="001902D5"/>
    <w:rsid w:val="001927B3"/>
    <w:rsid w:val="00194776"/>
    <w:rsid w:val="00195810"/>
    <w:rsid w:val="00196A5A"/>
    <w:rsid w:val="001A1722"/>
    <w:rsid w:val="001A513C"/>
    <w:rsid w:val="001A7024"/>
    <w:rsid w:val="001A7782"/>
    <w:rsid w:val="001B0862"/>
    <w:rsid w:val="001B2C2E"/>
    <w:rsid w:val="001B53E6"/>
    <w:rsid w:val="001B642C"/>
    <w:rsid w:val="001B654A"/>
    <w:rsid w:val="001B6DD0"/>
    <w:rsid w:val="001C15DC"/>
    <w:rsid w:val="001C23FA"/>
    <w:rsid w:val="001C4B4E"/>
    <w:rsid w:val="001C617B"/>
    <w:rsid w:val="001C6C13"/>
    <w:rsid w:val="001D6443"/>
    <w:rsid w:val="001D73E3"/>
    <w:rsid w:val="001E3683"/>
    <w:rsid w:val="001E45D0"/>
    <w:rsid w:val="001E4B58"/>
    <w:rsid w:val="001E7730"/>
    <w:rsid w:val="001F3011"/>
    <w:rsid w:val="001F312D"/>
    <w:rsid w:val="001F36F7"/>
    <w:rsid w:val="001F4DD8"/>
    <w:rsid w:val="001F7511"/>
    <w:rsid w:val="002049CC"/>
    <w:rsid w:val="00206343"/>
    <w:rsid w:val="002076A1"/>
    <w:rsid w:val="0020798B"/>
    <w:rsid w:val="00221D00"/>
    <w:rsid w:val="0022224E"/>
    <w:rsid w:val="00222A23"/>
    <w:rsid w:val="0022417F"/>
    <w:rsid w:val="002257BE"/>
    <w:rsid w:val="00227CEC"/>
    <w:rsid w:val="00231BAF"/>
    <w:rsid w:val="00232E4C"/>
    <w:rsid w:val="00235A9E"/>
    <w:rsid w:val="00237982"/>
    <w:rsid w:val="00241819"/>
    <w:rsid w:val="00244C95"/>
    <w:rsid w:val="00245143"/>
    <w:rsid w:val="00246DCA"/>
    <w:rsid w:val="002525EE"/>
    <w:rsid w:val="002542FF"/>
    <w:rsid w:val="00255972"/>
    <w:rsid w:val="002559BA"/>
    <w:rsid w:val="00256BA0"/>
    <w:rsid w:val="00262936"/>
    <w:rsid w:val="002634FA"/>
    <w:rsid w:val="002646D8"/>
    <w:rsid w:val="0026592C"/>
    <w:rsid w:val="00267A85"/>
    <w:rsid w:val="002729E4"/>
    <w:rsid w:val="00272BFE"/>
    <w:rsid w:val="00275713"/>
    <w:rsid w:val="00275C65"/>
    <w:rsid w:val="002765E6"/>
    <w:rsid w:val="00281200"/>
    <w:rsid w:val="0028395F"/>
    <w:rsid w:val="00287378"/>
    <w:rsid w:val="0029251E"/>
    <w:rsid w:val="00292685"/>
    <w:rsid w:val="00295FA4"/>
    <w:rsid w:val="002965E0"/>
    <w:rsid w:val="002A1707"/>
    <w:rsid w:val="002A1B50"/>
    <w:rsid w:val="002A28F0"/>
    <w:rsid w:val="002A5E0E"/>
    <w:rsid w:val="002A638A"/>
    <w:rsid w:val="002B2567"/>
    <w:rsid w:val="002B39D5"/>
    <w:rsid w:val="002B6011"/>
    <w:rsid w:val="002B69BF"/>
    <w:rsid w:val="002B7230"/>
    <w:rsid w:val="002C1641"/>
    <w:rsid w:val="002C1CBF"/>
    <w:rsid w:val="002C23EF"/>
    <w:rsid w:val="002C2994"/>
    <w:rsid w:val="002C3793"/>
    <w:rsid w:val="002C6356"/>
    <w:rsid w:val="002C72E6"/>
    <w:rsid w:val="002D12F4"/>
    <w:rsid w:val="002D5CF8"/>
    <w:rsid w:val="002E6AE3"/>
    <w:rsid w:val="00300F81"/>
    <w:rsid w:val="003037E4"/>
    <w:rsid w:val="00303D19"/>
    <w:rsid w:val="00304B9F"/>
    <w:rsid w:val="00307141"/>
    <w:rsid w:val="003074C5"/>
    <w:rsid w:val="00310305"/>
    <w:rsid w:val="00310AD8"/>
    <w:rsid w:val="0031198C"/>
    <w:rsid w:val="003119EC"/>
    <w:rsid w:val="00311BAF"/>
    <w:rsid w:val="003216C9"/>
    <w:rsid w:val="003224D1"/>
    <w:rsid w:val="003253FB"/>
    <w:rsid w:val="003278EE"/>
    <w:rsid w:val="00335357"/>
    <w:rsid w:val="00335FF3"/>
    <w:rsid w:val="00343062"/>
    <w:rsid w:val="00343493"/>
    <w:rsid w:val="003524F2"/>
    <w:rsid w:val="00353680"/>
    <w:rsid w:val="003614E1"/>
    <w:rsid w:val="00361F95"/>
    <w:rsid w:val="00363199"/>
    <w:rsid w:val="00363218"/>
    <w:rsid w:val="0036554B"/>
    <w:rsid w:val="0036646D"/>
    <w:rsid w:val="00366B56"/>
    <w:rsid w:val="00370482"/>
    <w:rsid w:val="00372EDB"/>
    <w:rsid w:val="003769E3"/>
    <w:rsid w:val="0038200F"/>
    <w:rsid w:val="00382499"/>
    <w:rsid w:val="003825BD"/>
    <w:rsid w:val="00383075"/>
    <w:rsid w:val="00383475"/>
    <w:rsid w:val="00385117"/>
    <w:rsid w:val="0039091F"/>
    <w:rsid w:val="00390C81"/>
    <w:rsid w:val="003956E4"/>
    <w:rsid w:val="003976F3"/>
    <w:rsid w:val="00397769"/>
    <w:rsid w:val="003A129D"/>
    <w:rsid w:val="003A2BD0"/>
    <w:rsid w:val="003A2C8A"/>
    <w:rsid w:val="003A3EAC"/>
    <w:rsid w:val="003A5094"/>
    <w:rsid w:val="003A5BA1"/>
    <w:rsid w:val="003A6482"/>
    <w:rsid w:val="003B007F"/>
    <w:rsid w:val="003B0B45"/>
    <w:rsid w:val="003B106D"/>
    <w:rsid w:val="003B46FF"/>
    <w:rsid w:val="003C2347"/>
    <w:rsid w:val="003C609A"/>
    <w:rsid w:val="003D0933"/>
    <w:rsid w:val="003D1A27"/>
    <w:rsid w:val="003D3F83"/>
    <w:rsid w:val="003D58E3"/>
    <w:rsid w:val="003D76A4"/>
    <w:rsid w:val="003E1CDC"/>
    <w:rsid w:val="003E569C"/>
    <w:rsid w:val="003E594E"/>
    <w:rsid w:val="003E5E46"/>
    <w:rsid w:val="003E607A"/>
    <w:rsid w:val="003E6B55"/>
    <w:rsid w:val="003E79FD"/>
    <w:rsid w:val="003F154F"/>
    <w:rsid w:val="003F472C"/>
    <w:rsid w:val="00401130"/>
    <w:rsid w:val="00402D8D"/>
    <w:rsid w:val="00405588"/>
    <w:rsid w:val="00406B40"/>
    <w:rsid w:val="00411CFE"/>
    <w:rsid w:val="004130FB"/>
    <w:rsid w:val="0041710E"/>
    <w:rsid w:val="00422CE9"/>
    <w:rsid w:val="004251F5"/>
    <w:rsid w:val="00425CB9"/>
    <w:rsid w:val="00426102"/>
    <w:rsid w:val="00427B4A"/>
    <w:rsid w:val="004304F1"/>
    <w:rsid w:val="004312AD"/>
    <w:rsid w:val="00432AF4"/>
    <w:rsid w:val="00433E1C"/>
    <w:rsid w:val="00435488"/>
    <w:rsid w:val="0043566B"/>
    <w:rsid w:val="00436824"/>
    <w:rsid w:val="004433BA"/>
    <w:rsid w:val="00444A48"/>
    <w:rsid w:val="0044540E"/>
    <w:rsid w:val="00447088"/>
    <w:rsid w:val="00452AD4"/>
    <w:rsid w:val="0045323B"/>
    <w:rsid w:val="0045607B"/>
    <w:rsid w:val="004562A0"/>
    <w:rsid w:val="00456910"/>
    <w:rsid w:val="00462FFD"/>
    <w:rsid w:val="00464489"/>
    <w:rsid w:val="0046540A"/>
    <w:rsid w:val="004665BC"/>
    <w:rsid w:val="00470B70"/>
    <w:rsid w:val="00471A00"/>
    <w:rsid w:val="00473158"/>
    <w:rsid w:val="004734A9"/>
    <w:rsid w:val="004745FB"/>
    <w:rsid w:val="00474788"/>
    <w:rsid w:val="00476982"/>
    <w:rsid w:val="004834CB"/>
    <w:rsid w:val="0048409B"/>
    <w:rsid w:val="004875CF"/>
    <w:rsid w:val="00490114"/>
    <w:rsid w:val="00490426"/>
    <w:rsid w:val="0049161A"/>
    <w:rsid w:val="00492258"/>
    <w:rsid w:val="00496E65"/>
    <w:rsid w:val="00496FA3"/>
    <w:rsid w:val="004A0247"/>
    <w:rsid w:val="004A113F"/>
    <w:rsid w:val="004A1CD9"/>
    <w:rsid w:val="004A60AE"/>
    <w:rsid w:val="004A6302"/>
    <w:rsid w:val="004A6D50"/>
    <w:rsid w:val="004B0A96"/>
    <w:rsid w:val="004B3310"/>
    <w:rsid w:val="004B3623"/>
    <w:rsid w:val="004B5A51"/>
    <w:rsid w:val="004B6194"/>
    <w:rsid w:val="004C096E"/>
    <w:rsid w:val="004C29A6"/>
    <w:rsid w:val="004C29C1"/>
    <w:rsid w:val="004C468B"/>
    <w:rsid w:val="004D3D46"/>
    <w:rsid w:val="004D490A"/>
    <w:rsid w:val="004D6E44"/>
    <w:rsid w:val="004D71E3"/>
    <w:rsid w:val="004E4245"/>
    <w:rsid w:val="004E796E"/>
    <w:rsid w:val="004F1054"/>
    <w:rsid w:val="004F161C"/>
    <w:rsid w:val="004F243D"/>
    <w:rsid w:val="004F6D90"/>
    <w:rsid w:val="00500F33"/>
    <w:rsid w:val="00504BFB"/>
    <w:rsid w:val="005058F8"/>
    <w:rsid w:val="00505900"/>
    <w:rsid w:val="0050738E"/>
    <w:rsid w:val="00513107"/>
    <w:rsid w:val="00515E63"/>
    <w:rsid w:val="00516329"/>
    <w:rsid w:val="00516B24"/>
    <w:rsid w:val="00517B08"/>
    <w:rsid w:val="005209B8"/>
    <w:rsid w:val="00535D83"/>
    <w:rsid w:val="0053764D"/>
    <w:rsid w:val="00540F50"/>
    <w:rsid w:val="005427BA"/>
    <w:rsid w:val="005442ED"/>
    <w:rsid w:val="00547F9C"/>
    <w:rsid w:val="0055221F"/>
    <w:rsid w:val="005568B2"/>
    <w:rsid w:val="0055799B"/>
    <w:rsid w:val="0056226C"/>
    <w:rsid w:val="00562571"/>
    <w:rsid w:val="005639E3"/>
    <w:rsid w:val="005678BF"/>
    <w:rsid w:val="00571A87"/>
    <w:rsid w:val="00574693"/>
    <w:rsid w:val="00583EBF"/>
    <w:rsid w:val="0058555C"/>
    <w:rsid w:val="00592C2F"/>
    <w:rsid w:val="00596B1A"/>
    <w:rsid w:val="00597476"/>
    <w:rsid w:val="00597978"/>
    <w:rsid w:val="005A140E"/>
    <w:rsid w:val="005A509E"/>
    <w:rsid w:val="005A6E27"/>
    <w:rsid w:val="005B0521"/>
    <w:rsid w:val="005B2B62"/>
    <w:rsid w:val="005B42A5"/>
    <w:rsid w:val="005B4BB5"/>
    <w:rsid w:val="005C1FC9"/>
    <w:rsid w:val="005C1FCC"/>
    <w:rsid w:val="005C3EF6"/>
    <w:rsid w:val="005C4269"/>
    <w:rsid w:val="005C70C8"/>
    <w:rsid w:val="005D06F6"/>
    <w:rsid w:val="005D1D87"/>
    <w:rsid w:val="005E1DBA"/>
    <w:rsid w:val="005E3CC3"/>
    <w:rsid w:val="005E4CA9"/>
    <w:rsid w:val="005F1595"/>
    <w:rsid w:val="005F50D2"/>
    <w:rsid w:val="005F51E2"/>
    <w:rsid w:val="0060129B"/>
    <w:rsid w:val="00602360"/>
    <w:rsid w:val="00604CDD"/>
    <w:rsid w:val="00604D0B"/>
    <w:rsid w:val="00605E5C"/>
    <w:rsid w:val="0060645C"/>
    <w:rsid w:val="00623976"/>
    <w:rsid w:val="00626D93"/>
    <w:rsid w:val="0063036A"/>
    <w:rsid w:val="006351EB"/>
    <w:rsid w:val="00635844"/>
    <w:rsid w:val="00635C95"/>
    <w:rsid w:val="00643468"/>
    <w:rsid w:val="00643C60"/>
    <w:rsid w:val="006475D1"/>
    <w:rsid w:val="00647747"/>
    <w:rsid w:val="006477DF"/>
    <w:rsid w:val="00647950"/>
    <w:rsid w:val="006500FB"/>
    <w:rsid w:val="006543C1"/>
    <w:rsid w:val="006645BD"/>
    <w:rsid w:val="006652D1"/>
    <w:rsid w:val="00671FCD"/>
    <w:rsid w:val="00673758"/>
    <w:rsid w:val="0067577C"/>
    <w:rsid w:val="0068000F"/>
    <w:rsid w:val="00683DEA"/>
    <w:rsid w:val="006867A4"/>
    <w:rsid w:val="00687A9B"/>
    <w:rsid w:val="006938A6"/>
    <w:rsid w:val="006944FC"/>
    <w:rsid w:val="00696A93"/>
    <w:rsid w:val="006A158B"/>
    <w:rsid w:val="006A4138"/>
    <w:rsid w:val="006A618F"/>
    <w:rsid w:val="006A7710"/>
    <w:rsid w:val="006B157B"/>
    <w:rsid w:val="006B17FB"/>
    <w:rsid w:val="006B709B"/>
    <w:rsid w:val="006C13DE"/>
    <w:rsid w:val="006C17D5"/>
    <w:rsid w:val="006C3465"/>
    <w:rsid w:val="006C6274"/>
    <w:rsid w:val="006C65F3"/>
    <w:rsid w:val="006D020C"/>
    <w:rsid w:val="006D086F"/>
    <w:rsid w:val="006D29D3"/>
    <w:rsid w:val="006D2FB6"/>
    <w:rsid w:val="006E2327"/>
    <w:rsid w:val="006E253F"/>
    <w:rsid w:val="006E3FD2"/>
    <w:rsid w:val="006F2303"/>
    <w:rsid w:val="006F230B"/>
    <w:rsid w:val="006F234B"/>
    <w:rsid w:val="00710282"/>
    <w:rsid w:val="007147D6"/>
    <w:rsid w:val="00716930"/>
    <w:rsid w:val="00716D66"/>
    <w:rsid w:val="00721074"/>
    <w:rsid w:val="0072274C"/>
    <w:rsid w:val="00725C93"/>
    <w:rsid w:val="00726C40"/>
    <w:rsid w:val="00727391"/>
    <w:rsid w:val="00734DB4"/>
    <w:rsid w:val="00736FFD"/>
    <w:rsid w:val="007376BC"/>
    <w:rsid w:val="0074109E"/>
    <w:rsid w:val="00741446"/>
    <w:rsid w:val="00752AB7"/>
    <w:rsid w:val="00754C18"/>
    <w:rsid w:val="007561B9"/>
    <w:rsid w:val="00756B0E"/>
    <w:rsid w:val="00757654"/>
    <w:rsid w:val="00763D26"/>
    <w:rsid w:val="007654A7"/>
    <w:rsid w:val="007716EA"/>
    <w:rsid w:val="00772CFA"/>
    <w:rsid w:val="00775C29"/>
    <w:rsid w:val="007806D0"/>
    <w:rsid w:val="00780BFC"/>
    <w:rsid w:val="00782438"/>
    <w:rsid w:val="00782AAC"/>
    <w:rsid w:val="007857F1"/>
    <w:rsid w:val="0078648C"/>
    <w:rsid w:val="00787FCB"/>
    <w:rsid w:val="00787FF5"/>
    <w:rsid w:val="00791C79"/>
    <w:rsid w:val="00792D3A"/>
    <w:rsid w:val="00793F14"/>
    <w:rsid w:val="007960BB"/>
    <w:rsid w:val="0079611C"/>
    <w:rsid w:val="007A3AB6"/>
    <w:rsid w:val="007A416C"/>
    <w:rsid w:val="007A4E9C"/>
    <w:rsid w:val="007B150D"/>
    <w:rsid w:val="007B1A51"/>
    <w:rsid w:val="007B3D9F"/>
    <w:rsid w:val="007B7BBE"/>
    <w:rsid w:val="007B7F18"/>
    <w:rsid w:val="007B7F73"/>
    <w:rsid w:val="007C0A0B"/>
    <w:rsid w:val="007C2826"/>
    <w:rsid w:val="007C346F"/>
    <w:rsid w:val="007C37BC"/>
    <w:rsid w:val="007C5690"/>
    <w:rsid w:val="007C6290"/>
    <w:rsid w:val="007C7F55"/>
    <w:rsid w:val="007D1FB4"/>
    <w:rsid w:val="007D6524"/>
    <w:rsid w:val="007E4EF1"/>
    <w:rsid w:val="007F171A"/>
    <w:rsid w:val="007F3880"/>
    <w:rsid w:val="00800B1D"/>
    <w:rsid w:val="0080144A"/>
    <w:rsid w:val="0080239F"/>
    <w:rsid w:val="00802678"/>
    <w:rsid w:val="00804040"/>
    <w:rsid w:val="00810305"/>
    <w:rsid w:val="0081095A"/>
    <w:rsid w:val="00815E89"/>
    <w:rsid w:val="0081657E"/>
    <w:rsid w:val="008166E5"/>
    <w:rsid w:val="00816AA0"/>
    <w:rsid w:val="00817227"/>
    <w:rsid w:val="00817714"/>
    <w:rsid w:val="0082057F"/>
    <w:rsid w:val="008217E7"/>
    <w:rsid w:val="008228E3"/>
    <w:rsid w:val="008261EF"/>
    <w:rsid w:val="00826CEA"/>
    <w:rsid w:val="008276F6"/>
    <w:rsid w:val="00827E41"/>
    <w:rsid w:val="008305CA"/>
    <w:rsid w:val="00834478"/>
    <w:rsid w:val="00834DE4"/>
    <w:rsid w:val="00834EC1"/>
    <w:rsid w:val="00836560"/>
    <w:rsid w:val="00840198"/>
    <w:rsid w:val="00840D43"/>
    <w:rsid w:val="00842004"/>
    <w:rsid w:val="0084409E"/>
    <w:rsid w:val="0084436E"/>
    <w:rsid w:val="00844F97"/>
    <w:rsid w:val="0084639C"/>
    <w:rsid w:val="00846A35"/>
    <w:rsid w:val="008470E9"/>
    <w:rsid w:val="00857FEB"/>
    <w:rsid w:val="0086090D"/>
    <w:rsid w:val="00862A3D"/>
    <w:rsid w:val="0086497C"/>
    <w:rsid w:val="0086674A"/>
    <w:rsid w:val="00867144"/>
    <w:rsid w:val="0087154E"/>
    <w:rsid w:val="00874F35"/>
    <w:rsid w:val="0088070D"/>
    <w:rsid w:val="00880834"/>
    <w:rsid w:val="00881FDF"/>
    <w:rsid w:val="008837D3"/>
    <w:rsid w:val="0088662D"/>
    <w:rsid w:val="00894917"/>
    <w:rsid w:val="00896986"/>
    <w:rsid w:val="008971D7"/>
    <w:rsid w:val="008A1185"/>
    <w:rsid w:val="008A3596"/>
    <w:rsid w:val="008A6A2B"/>
    <w:rsid w:val="008B24A8"/>
    <w:rsid w:val="008B2561"/>
    <w:rsid w:val="008B6F19"/>
    <w:rsid w:val="008C17EB"/>
    <w:rsid w:val="008C64CA"/>
    <w:rsid w:val="008D1EB5"/>
    <w:rsid w:val="008D66FD"/>
    <w:rsid w:val="008D70FE"/>
    <w:rsid w:val="008E365B"/>
    <w:rsid w:val="008F4743"/>
    <w:rsid w:val="009064CA"/>
    <w:rsid w:val="00906760"/>
    <w:rsid w:val="00907EFC"/>
    <w:rsid w:val="00911103"/>
    <w:rsid w:val="00915F15"/>
    <w:rsid w:val="00924688"/>
    <w:rsid w:val="00926133"/>
    <w:rsid w:val="00936852"/>
    <w:rsid w:val="00940C46"/>
    <w:rsid w:val="00941041"/>
    <w:rsid w:val="00941B99"/>
    <w:rsid w:val="00942458"/>
    <w:rsid w:val="00943CF8"/>
    <w:rsid w:val="00944455"/>
    <w:rsid w:val="00945EAC"/>
    <w:rsid w:val="00952C9E"/>
    <w:rsid w:val="00953A99"/>
    <w:rsid w:val="00953E76"/>
    <w:rsid w:val="009540BF"/>
    <w:rsid w:val="00960978"/>
    <w:rsid w:val="00965965"/>
    <w:rsid w:val="00966550"/>
    <w:rsid w:val="0097002A"/>
    <w:rsid w:val="0097151F"/>
    <w:rsid w:val="00971A9E"/>
    <w:rsid w:val="009722DE"/>
    <w:rsid w:val="0097471D"/>
    <w:rsid w:val="00977DA1"/>
    <w:rsid w:val="0098046A"/>
    <w:rsid w:val="00983CEC"/>
    <w:rsid w:val="00984081"/>
    <w:rsid w:val="00986B2A"/>
    <w:rsid w:val="00987D65"/>
    <w:rsid w:val="00993A62"/>
    <w:rsid w:val="00995412"/>
    <w:rsid w:val="009A1F60"/>
    <w:rsid w:val="009A7697"/>
    <w:rsid w:val="009B3B81"/>
    <w:rsid w:val="009B49C8"/>
    <w:rsid w:val="009B6F26"/>
    <w:rsid w:val="009C1D56"/>
    <w:rsid w:val="009C3334"/>
    <w:rsid w:val="009C79CD"/>
    <w:rsid w:val="009D0CB8"/>
    <w:rsid w:val="009D2647"/>
    <w:rsid w:val="009D67B6"/>
    <w:rsid w:val="009E0448"/>
    <w:rsid w:val="009E34EE"/>
    <w:rsid w:val="009E3A91"/>
    <w:rsid w:val="009E7020"/>
    <w:rsid w:val="009F3D16"/>
    <w:rsid w:val="009F3E14"/>
    <w:rsid w:val="009F4351"/>
    <w:rsid w:val="009F4AFE"/>
    <w:rsid w:val="00A017FF"/>
    <w:rsid w:val="00A0184B"/>
    <w:rsid w:val="00A050A2"/>
    <w:rsid w:val="00A06D4C"/>
    <w:rsid w:val="00A1128B"/>
    <w:rsid w:val="00A1254B"/>
    <w:rsid w:val="00A14CDF"/>
    <w:rsid w:val="00A16E03"/>
    <w:rsid w:val="00A210D3"/>
    <w:rsid w:val="00A2344D"/>
    <w:rsid w:val="00A27104"/>
    <w:rsid w:val="00A27911"/>
    <w:rsid w:val="00A31883"/>
    <w:rsid w:val="00A32B4C"/>
    <w:rsid w:val="00A32EF0"/>
    <w:rsid w:val="00A34720"/>
    <w:rsid w:val="00A349D4"/>
    <w:rsid w:val="00A3606E"/>
    <w:rsid w:val="00A405A3"/>
    <w:rsid w:val="00A46579"/>
    <w:rsid w:val="00A50753"/>
    <w:rsid w:val="00A52199"/>
    <w:rsid w:val="00A535D5"/>
    <w:rsid w:val="00A54D24"/>
    <w:rsid w:val="00A57D1D"/>
    <w:rsid w:val="00A60854"/>
    <w:rsid w:val="00A627A8"/>
    <w:rsid w:val="00A6291C"/>
    <w:rsid w:val="00A635BB"/>
    <w:rsid w:val="00A65F39"/>
    <w:rsid w:val="00A65F85"/>
    <w:rsid w:val="00A66935"/>
    <w:rsid w:val="00A67412"/>
    <w:rsid w:val="00A709FC"/>
    <w:rsid w:val="00A70E3A"/>
    <w:rsid w:val="00A71794"/>
    <w:rsid w:val="00A84FA4"/>
    <w:rsid w:val="00A90CC3"/>
    <w:rsid w:val="00A93933"/>
    <w:rsid w:val="00A94F99"/>
    <w:rsid w:val="00A964F8"/>
    <w:rsid w:val="00AA2D2B"/>
    <w:rsid w:val="00AA31CD"/>
    <w:rsid w:val="00AA3EDB"/>
    <w:rsid w:val="00AA44BE"/>
    <w:rsid w:val="00AA5FFD"/>
    <w:rsid w:val="00AA6090"/>
    <w:rsid w:val="00AB1071"/>
    <w:rsid w:val="00AB66A6"/>
    <w:rsid w:val="00AB6D99"/>
    <w:rsid w:val="00AC02A2"/>
    <w:rsid w:val="00AC072C"/>
    <w:rsid w:val="00AC2C1B"/>
    <w:rsid w:val="00AC403F"/>
    <w:rsid w:val="00AC4676"/>
    <w:rsid w:val="00AC6341"/>
    <w:rsid w:val="00AD0682"/>
    <w:rsid w:val="00AD1E67"/>
    <w:rsid w:val="00AD2CDF"/>
    <w:rsid w:val="00AD3CAD"/>
    <w:rsid w:val="00AD60CC"/>
    <w:rsid w:val="00AD788C"/>
    <w:rsid w:val="00AE114D"/>
    <w:rsid w:val="00AE1960"/>
    <w:rsid w:val="00AE2E8B"/>
    <w:rsid w:val="00AE49DC"/>
    <w:rsid w:val="00AE49E8"/>
    <w:rsid w:val="00AE658B"/>
    <w:rsid w:val="00AE7356"/>
    <w:rsid w:val="00AF0C2A"/>
    <w:rsid w:val="00AF1103"/>
    <w:rsid w:val="00AF1B6B"/>
    <w:rsid w:val="00AF27C7"/>
    <w:rsid w:val="00AF4790"/>
    <w:rsid w:val="00AF5685"/>
    <w:rsid w:val="00AF6075"/>
    <w:rsid w:val="00B00FBA"/>
    <w:rsid w:val="00B02BFD"/>
    <w:rsid w:val="00B033DF"/>
    <w:rsid w:val="00B053D9"/>
    <w:rsid w:val="00B06F1E"/>
    <w:rsid w:val="00B07B3F"/>
    <w:rsid w:val="00B1120B"/>
    <w:rsid w:val="00B11D36"/>
    <w:rsid w:val="00B132D1"/>
    <w:rsid w:val="00B1634E"/>
    <w:rsid w:val="00B2070E"/>
    <w:rsid w:val="00B207C1"/>
    <w:rsid w:val="00B23F24"/>
    <w:rsid w:val="00B2442D"/>
    <w:rsid w:val="00B26AE1"/>
    <w:rsid w:val="00B3185E"/>
    <w:rsid w:val="00B35734"/>
    <w:rsid w:val="00B40FF2"/>
    <w:rsid w:val="00B41B78"/>
    <w:rsid w:val="00B42C1F"/>
    <w:rsid w:val="00B4607D"/>
    <w:rsid w:val="00B47381"/>
    <w:rsid w:val="00B51335"/>
    <w:rsid w:val="00B53EA2"/>
    <w:rsid w:val="00B64AC7"/>
    <w:rsid w:val="00B65AA4"/>
    <w:rsid w:val="00B67967"/>
    <w:rsid w:val="00B778D1"/>
    <w:rsid w:val="00B83C83"/>
    <w:rsid w:val="00B840F4"/>
    <w:rsid w:val="00B849BC"/>
    <w:rsid w:val="00B86498"/>
    <w:rsid w:val="00B86A0F"/>
    <w:rsid w:val="00B8773A"/>
    <w:rsid w:val="00B908D0"/>
    <w:rsid w:val="00B9206A"/>
    <w:rsid w:val="00B923F6"/>
    <w:rsid w:val="00B93D13"/>
    <w:rsid w:val="00B949EF"/>
    <w:rsid w:val="00B96F42"/>
    <w:rsid w:val="00BA22DC"/>
    <w:rsid w:val="00BA2D82"/>
    <w:rsid w:val="00BA7A0D"/>
    <w:rsid w:val="00BB2CED"/>
    <w:rsid w:val="00BC11C4"/>
    <w:rsid w:val="00BC2CF8"/>
    <w:rsid w:val="00BC44D7"/>
    <w:rsid w:val="00BD1025"/>
    <w:rsid w:val="00BD20A2"/>
    <w:rsid w:val="00BD2A2C"/>
    <w:rsid w:val="00BD3A05"/>
    <w:rsid w:val="00BD4EA9"/>
    <w:rsid w:val="00BD6058"/>
    <w:rsid w:val="00BE12E2"/>
    <w:rsid w:val="00BE3ECC"/>
    <w:rsid w:val="00BE527C"/>
    <w:rsid w:val="00BE645F"/>
    <w:rsid w:val="00BF7B10"/>
    <w:rsid w:val="00C041BA"/>
    <w:rsid w:val="00C12115"/>
    <w:rsid w:val="00C12517"/>
    <w:rsid w:val="00C1395F"/>
    <w:rsid w:val="00C13BFF"/>
    <w:rsid w:val="00C167BD"/>
    <w:rsid w:val="00C17072"/>
    <w:rsid w:val="00C21FE0"/>
    <w:rsid w:val="00C222FD"/>
    <w:rsid w:val="00C23966"/>
    <w:rsid w:val="00C24162"/>
    <w:rsid w:val="00C24329"/>
    <w:rsid w:val="00C25324"/>
    <w:rsid w:val="00C32F41"/>
    <w:rsid w:val="00C3308E"/>
    <w:rsid w:val="00C33695"/>
    <w:rsid w:val="00C3500C"/>
    <w:rsid w:val="00C353C9"/>
    <w:rsid w:val="00C427BE"/>
    <w:rsid w:val="00C455CB"/>
    <w:rsid w:val="00C479DD"/>
    <w:rsid w:val="00C5108B"/>
    <w:rsid w:val="00C52C70"/>
    <w:rsid w:val="00C55592"/>
    <w:rsid w:val="00C56D7B"/>
    <w:rsid w:val="00C574F4"/>
    <w:rsid w:val="00C6329A"/>
    <w:rsid w:val="00C6396A"/>
    <w:rsid w:val="00C63C97"/>
    <w:rsid w:val="00C645A5"/>
    <w:rsid w:val="00C65531"/>
    <w:rsid w:val="00C6594C"/>
    <w:rsid w:val="00C65CCF"/>
    <w:rsid w:val="00C6751A"/>
    <w:rsid w:val="00C67AB8"/>
    <w:rsid w:val="00C757A2"/>
    <w:rsid w:val="00C76133"/>
    <w:rsid w:val="00C87839"/>
    <w:rsid w:val="00C91822"/>
    <w:rsid w:val="00C97BF4"/>
    <w:rsid w:val="00CA0ECA"/>
    <w:rsid w:val="00CA711D"/>
    <w:rsid w:val="00CB30BE"/>
    <w:rsid w:val="00CB32D9"/>
    <w:rsid w:val="00CB55F4"/>
    <w:rsid w:val="00CC0CC9"/>
    <w:rsid w:val="00CC12EC"/>
    <w:rsid w:val="00CC13AA"/>
    <w:rsid w:val="00CC47CD"/>
    <w:rsid w:val="00CC54D7"/>
    <w:rsid w:val="00CC5825"/>
    <w:rsid w:val="00CD10AC"/>
    <w:rsid w:val="00CD1967"/>
    <w:rsid w:val="00CD2FCC"/>
    <w:rsid w:val="00CD7682"/>
    <w:rsid w:val="00CE1F08"/>
    <w:rsid w:val="00CE3583"/>
    <w:rsid w:val="00CE4B77"/>
    <w:rsid w:val="00CE5A97"/>
    <w:rsid w:val="00CF0806"/>
    <w:rsid w:val="00CF22B4"/>
    <w:rsid w:val="00CF2BBC"/>
    <w:rsid w:val="00CF447E"/>
    <w:rsid w:val="00CF5FDC"/>
    <w:rsid w:val="00CF7C6A"/>
    <w:rsid w:val="00D01F00"/>
    <w:rsid w:val="00D039E2"/>
    <w:rsid w:val="00D055BA"/>
    <w:rsid w:val="00D05DE7"/>
    <w:rsid w:val="00D06CAB"/>
    <w:rsid w:val="00D1070A"/>
    <w:rsid w:val="00D108F7"/>
    <w:rsid w:val="00D10E47"/>
    <w:rsid w:val="00D11C6E"/>
    <w:rsid w:val="00D167CE"/>
    <w:rsid w:val="00D208E9"/>
    <w:rsid w:val="00D21181"/>
    <w:rsid w:val="00D21284"/>
    <w:rsid w:val="00D2645C"/>
    <w:rsid w:val="00D26FC6"/>
    <w:rsid w:val="00D316D5"/>
    <w:rsid w:val="00D32323"/>
    <w:rsid w:val="00D41906"/>
    <w:rsid w:val="00D473A7"/>
    <w:rsid w:val="00D507EE"/>
    <w:rsid w:val="00D513A3"/>
    <w:rsid w:val="00D51AA7"/>
    <w:rsid w:val="00D60837"/>
    <w:rsid w:val="00D611EA"/>
    <w:rsid w:val="00D61B3C"/>
    <w:rsid w:val="00D64B36"/>
    <w:rsid w:val="00D662E4"/>
    <w:rsid w:val="00D66781"/>
    <w:rsid w:val="00D70B50"/>
    <w:rsid w:val="00D70CC0"/>
    <w:rsid w:val="00D713CD"/>
    <w:rsid w:val="00D73CE5"/>
    <w:rsid w:val="00D747D0"/>
    <w:rsid w:val="00D767DA"/>
    <w:rsid w:val="00D8343A"/>
    <w:rsid w:val="00D83DF9"/>
    <w:rsid w:val="00D87B11"/>
    <w:rsid w:val="00D9400D"/>
    <w:rsid w:val="00D940ED"/>
    <w:rsid w:val="00D956A6"/>
    <w:rsid w:val="00D96A05"/>
    <w:rsid w:val="00D97A64"/>
    <w:rsid w:val="00DA1793"/>
    <w:rsid w:val="00DA2FEA"/>
    <w:rsid w:val="00DA55EF"/>
    <w:rsid w:val="00DA67A9"/>
    <w:rsid w:val="00DB03F0"/>
    <w:rsid w:val="00DB216C"/>
    <w:rsid w:val="00DB42A5"/>
    <w:rsid w:val="00DB4A05"/>
    <w:rsid w:val="00DC21C7"/>
    <w:rsid w:val="00DC3F23"/>
    <w:rsid w:val="00DC4E08"/>
    <w:rsid w:val="00DE0D4C"/>
    <w:rsid w:val="00DE1FEE"/>
    <w:rsid w:val="00DE235E"/>
    <w:rsid w:val="00DE291A"/>
    <w:rsid w:val="00DE2F08"/>
    <w:rsid w:val="00DE5D1F"/>
    <w:rsid w:val="00DE665D"/>
    <w:rsid w:val="00DF0822"/>
    <w:rsid w:val="00DF0ABF"/>
    <w:rsid w:val="00DF5383"/>
    <w:rsid w:val="00E00E39"/>
    <w:rsid w:val="00E01033"/>
    <w:rsid w:val="00E065A6"/>
    <w:rsid w:val="00E06C6E"/>
    <w:rsid w:val="00E11C4A"/>
    <w:rsid w:val="00E12378"/>
    <w:rsid w:val="00E14B9E"/>
    <w:rsid w:val="00E157B9"/>
    <w:rsid w:val="00E15FF0"/>
    <w:rsid w:val="00E210AE"/>
    <w:rsid w:val="00E21A0C"/>
    <w:rsid w:val="00E21EA4"/>
    <w:rsid w:val="00E253EA"/>
    <w:rsid w:val="00E27F78"/>
    <w:rsid w:val="00E313A6"/>
    <w:rsid w:val="00E320C4"/>
    <w:rsid w:val="00E34235"/>
    <w:rsid w:val="00E34D64"/>
    <w:rsid w:val="00E3512B"/>
    <w:rsid w:val="00E414B2"/>
    <w:rsid w:val="00E45878"/>
    <w:rsid w:val="00E46CD6"/>
    <w:rsid w:val="00E47DAE"/>
    <w:rsid w:val="00E55872"/>
    <w:rsid w:val="00E55BB3"/>
    <w:rsid w:val="00E55FEA"/>
    <w:rsid w:val="00E64635"/>
    <w:rsid w:val="00E64B3C"/>
    <w:rsid w:val="00E711BB"/>
    <w:rsid w:val="00E72845"/>
    <w:rsid w:val="00E7459E"/>
    <w:rsid w:val="00E76824"/>
    <w:rsid w:val="00E77060"/>
    <w:rsid w:val="00E83558"/>
    <w:rsid w:val="00E84235"/>
    <w:rsid w:val="00E8585C"/>
    <w:rsid w:val="00E91121"/>
    <w:rsid w:val="00E912C3"/>
    <w:rsid w:val="00E91F49"/>
    <w:rsid w:val="00E930FA"/>
    <w:rsid w:val="00E97301"/>
    <w:rsid w:val="00E97671"/>
    <w:rsid w:val="00EA001E"/>
    <w:rsid w:val="00EA1B52"/>
    <w:rsid w:val="00EA7196"/>
    <w:rsid w:val="00EB3D14"/>
    <w:rsid w:val="00EB3DB4"/>
    <w:rsid w:val="00EB57F0"/>
    <w:rsid w:val="00EB5FE8"/>
    <w:rsid w:val="00EB7401"/>
    <w:rsid w:val="00EC1919"/>
    <w:rsid w:val="00EC1F45"/>
    <w:rsid w:val="00EC4F57"/>
    <w:rsid w:val="00ED190B"/>
    <w:rsid w:val="00ED3A8E"/>
    <w:rsid w:val="00ED7FD1"/>
    <w:rsid w:val="00EE0C82"/>
    <w:rsid w:val="00EE1252"/>
    <w:rsid w:val="00EE614C"/>
    <w:rsid w:val="00EE6C6E"/>
    <w:rsid w:val="00EF20F3"/>
    <w:rsid w:val="00EF25FD"/>
    <w:rsid w:val="00EF34BD"/>
    <w:rsid w:val="00EF44EF"/>
    <w:rsid w:val="00EF5B60"/>
    <w:rsid w:val="00EF7D42"/>
    <w:rsid w:val="00F01155"/>
    <w:rsid w:val="00F012E2"/>
    <w:rsid w:val="00F01930"/>
    <w:rsid w:val="00F03E4E"/>
    <w:rsid w:val="00F04086"/>
    <w:rsid w:val="00F049A3"/>
    <w:rsid w:val="00F06C4C"/>
    <w:rsid w:val="00F12A7D"/>
    <w:rsid w:val="00F14995"/>
    <w:rsid w:val="00F14EE4"/>
    <w:rsid w:val="00F169B8"/>
    <w:rsid w:val="00F22C7C"/>
    <w:rsid w:val="00F2341A"/>
    <w:rsid w:val="00F24513"/>
    <w:rsid w:val="00F249DB"/>
    <w:rsid w:val="00F25AFA"/>
    <w:rsid w:val="00F313F9"/>
    <w:rsid w:val="00F31BAB"/>
    <w:rsid w:val="00F31D43"/>
    <w:rsid w:val="00F36E52"/>
    <w:rsid w:val="00F40342"/>
    <w:rsid w:val="00F40B65"/>
    <w:rsid w:val="00F41162"/>
    <w:rsid w:val="00F41233"/>
    <w:rsid w:val="00F44915"/>
    <w:rsid w:val="00F45128"/>
    <w:rsid w:val="00F5029C"/>
    <w:rsid w:val="00F50570"/>
    <w:rsid w:val="00F51A87"/>
    <w:rsid w:val="00F556F6"/>
    <w:rsid w:val="00F60A61"/>
    <w:rsid w:val="00F61A15"/>
    <w:rsid w:val="00F62299"/>
    <w:rsid w:val="00F66435"/>
    <w:rsid w:val="00F763DC"/>
    <w:rsid w:val="00F82032"/>
    <w:rsid w:val="00F82590"/>
    <w:rsid w:val="00F828B6"/>
    <w:rsid w:val="00F828F2"/>
    <w:rsid w:val="00F8310C"/>
    <w:rsid w:val="00F85073"/>
    <w:rsid w:val="00F925CB"/>
    <w:rsid w:val="00F963D4"/>
    <w:rsid w:val="00FA067C"/>
    <w:rsid w:val="00FA522B"/>
    <w:rsid w:val="00FA5CFE"/>
    <w:rsid w:val="00FB3A26"/>
    <w:rsid w:val="00FB451A"/>
    <w:rsid w:val="00FC0CAE"/>
    <w:rsid w:val="00FC5516"/>
    <w:rsid w:val="00FC5E84"/>
    <w:rsid w:val="00FC6930"/>
    <w:rsid w:val="00FD1821"/>
    <w:rsid w:val="00FD2FF8"/>
    <w:rsid w:val="00FD3B70"/>
    <w:rsid w:val="00FD6BC5"/>
    <w:rsid w:val="00FD7EDE"/>
    <w:rsid w:val="00FE09AC"/>
    <w:rsid w:val="00FE7930"/>
    <w:rsid w:val="00FF17BB"/>
    <w:rsid w:val="00FF5091"/>
    <w:rsid w:val="00FF7A6A"/>
    <w:rsid w:val="0F06EEC1"/>
    <w:rsid w:val="13B84862"/>
    <w:rsid w:val="2399B375"/>
    <w:rsid w:val="2FABE95C"/>
    <w:rsid w:val="68B0D3D2"/>
    <w:rsid w:val="6A0F81BB"/>
    <w:rsid w:val="6B033C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66BC"/>
  <w15:chartTrackingRefBased/>
  <w15:docId w15:val="{89635968-59BD-4623-BEB7-3E8DC104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BE527C"/>
    <w:pPr>
      <w:keepNext/>
      <w:keepLines/>
      <w:spacing w:before="360" w:after="240" w:line="240" w:lineRule="auto"/>
      <w:contextualSpacing/>
      <w:outlineLvl w:val="0"/>
    </w:pPr>
    <w:rPr>
      <w:rFonts w:eastAsia="Times New Roman" w:cs="Arial"/>
      <w:b/>
      <w:bCs/>
      <w:color w:val="1C437E"/>
      <w:kern w:val="32"/>
      <w:sz w:val="42"/>
      <w:szCs w:val="32"/>
      <w14:ligatures w14:val="none"/>
    </w:rPr>
  </w:style>
  <w:style w:type="paragraph" w:styleId="Heading2">
    <w:name w:val="heading 2"/>
    <w:basedOn w:val="Normal"/>
    <w:next w:val="Normal"/>
    <w:link w:val="Heading2Char"/>
    <w:qFormat/>
    <w:rsid w:val="00BE527C"/>
    <w:pPr>
      <w:keepNext/>
      <w:keepLines/>
      <w:numPr>
        <w:numId w:val="14"/>
      </w:numPr>
      <w:spacing w:before="360" w:after="120" w:line="240" w:lineRule="auto"/>
      <w:contextualSpacing/>
      <w:outlineLvl w:val="1"/>
    </w:pPr>
    <w:rPr>
      <w:rFonts w:ascii="Calibri" w:eastAsia="Times New Roman" w:hAnsi="Calibri" w:cs="Arial"/>
      <w:bCs/>
      <w:iCs/>
      <w:color w:val="1C437E"/>
      <w:kern w:val="0"/>
      <w:sz w:val="28"/>
      <w:szCs w:val="28"/>
      <w14:ligatures w14:val="none"/>
    </w:rPr>
  </w:style>
  <w:style w:type="paragraph" w:styleId="Heading3">
    <w:name w:val="heading 3"/>
    <w:basedOn w:val="Normal"/>
    <w:next w:val="Normal"/>
    <w:link w:val="Heading3Char"/>
    <w:qFormat/>
    <w:rsid w:val="00BE527C"/>
    <w:pPr>
      <w:keepNext/>
      <w:keepLines/>
      <w:spacing w:before="240" w:after="120" w:line="240" w:lineRule="auto"/>
      <w:contextualSpacing/>
      <w:outlineLvl w:val="2"/>
    </w:pPr>
    <w:rPr>
      <w:rFonts w:ascii="Calibri" w:eastAsia="Times New Roman" w:hAnsi="Calibri" w:cs="Arial"/>
      <w:b/>
      <w:bCs/>
      <w:color w:val="1C437E"/>
      <w:kern w:val="0"/>
      <w:sz w:val="20"/>
      <w:szCs w:val="26"/>
      <w14:ligatures w14:val="none"/>
    </w:rPr>
  </w:style>
  <w:style w:type="paragraph" w:styleId="Heading4">
    <w:name w:val="heading 4"/>
    <w:basedOn w:val="Normal"/>
    <w:next w:val="Normal"/>
    <w:link w:val="Heading4Char"/>
    <w:qFormat/>
    <w:rsid w:val="001E4B58"/>
    <w:pPr>
      <w:jc w:val="both"/>
      <w:outlineLvl w:val="3"/>
    </w:pPr>
    <w:rPr>
      <w:b/>
      <w:bCs/>
    </w:rPr>
  </w:style>
  <w:style w:type="paragraph" w:styleId="Heading5">
    <w:name w:val="heading 5"/>
    <w:basedOn w:val="Normal"/>
    <w:next w:val="Normal"/>
    <w:link w:val="Heading5Char"/>
    <w:qFormat/>
    <w:rsid w:val="00BE527C"/>
    <w:pPr>
      <w:spacing w:before="240" w:after="60" w:line="240" w:lineRule="auto"/>
      <w:outlineLvl w:val="4"/>
    </w:pPr>
    <w:rPr>
      <w:rFonts w:ascii="Calibri" w:eastAsia="Times New Roman" w:hAnsi="Calibri" w:cs="Times New Roman"/>
      <w:b/>
      <w:bCs/>
      <w:i/>
      <w:iCs/>
      <w:kern w:val="0"/>
      <w:sz w:val="26"/>
      <w:szCs w:val="26"/>
      <w:lang w:val="en-US"/>
      <w14:ligatures w14:val="none"/>
    </w:rPr>
  </w:style>
  <w:style w:type="paragraph" w:styleId="Heading6">
    <w:name w:val="heading 6"/>
    <w:basedOn w:val="Normal"/>
    <w:next w:val="Normal"/>
    <w:link w:val="Heading6Char"/>
    <w:qFormat/>
    <w:rsid w:val="00BE527C"/>
    <w:pPr>
      <w:spacing w:before="240" w:after="60" w:line="240" w:lineRule="auto"/>
      <w:outlineLvl w:val="5"/>
    </w:pPr>
    <w:rPr>
      <w:rFonts w:ascii="Times New Roman" w:eastAsia="Times New Roman" w:hAnsi="Times New Roman" w:cs="Times New Roman"/>
      <w:b/>
      <w:bCs/>
      <w:kern w:val="0"/>
      <w:lang w:val="en-US"/>
      <w14:ligatures w14:val="none"/>
    </w:rPr>
  </w:style>
  <w:style w:type="paragraph" w:styleId="Heading7">
    <w:name w:val="heading 7"/>
    <w:basedOn w:val="Normal"/>
    <w:next w:val="Normal"/>
    <w:link w:val="Heading7Char"/>
    <w:qFormat/>
    <w:rsid w:val="00BE527C"/>
    <w:pPr>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Heading8">
    <w:name w:val="heading 8"/>
    <w:basedOn w:val="Normal"/>
    <w:next w:val="Normal"/>
    <w:link w:val="Heading8Char"/>
    <w:qFormat/>
    <w:rsid w:val="00BE527C"/>
    <w:pPr>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Heading9">
    <w:name w:val="heading 9"/>
    <w:basedOn w:val="Normal"/>
    <w:next w:val="Normal"/>
    <w:link w:val="Heading9Char"/>
    <w:qFormat/>
    <w:rsid w:val="00BE527C"/>
    <w:pPr>
      <w:spacing w:before="240" w:after="60" w:line="240" w:lineRule="auto"/>
      <w:outlineLvl w:val="8"/>
    </w:pPr>
    <w:rPr>
      <w:rFonts w:eastAsia="Times New Roman"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0D0599"/>
    <w:rPr>
      <w:rFonts w:ascii="Arial" w:hAnsi="Arial"/>
      <w:b/>
      <w:i w:val="0"/>
      <w:sz w:val="22"/>
    </w:rPr>
  </w:style>
  <w:style w:type="paragraph" w:styleId="ListParagraph">
    <w:name w:val="List Paragraph"/>
    <w:basedOn w:val="Normal"/>
    <w:uiPriority w:val="34"/>
    <w:qFormat/>
    <w:rsid w:val="00E27F78"/>
    <w:pPr>
      <w:ind w:left="720"/>
      <w:contextualSpacing/>
    </w:pPr>
  </w:style>
  <w:style w:type="paragraph" w:styleId="FootnoteText">
    <w:name w:val="footnote text"/>
    <w:basedOn w:val="Normal"/>
    <w:link w:val="FootnoteTextChar"/>
    <w:uiPriority w:val="99"/>
    <w:semiHidden/>
    <w:unhideWhenUsed/>
    <w:rsid w:val="004C2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9A6"/>
    <w:rPr>
      <w:sz w:val="20"/>
      <w:szCs w:val="20"/>
      <w:lang w:val="en-GB"/>
    </w:rPr>
  </w:style>
  <w:style w:type="character" w:styleId="FootnoteReference">
    <w:name w:val="footnote reference"/>
    <w:basedOn w:val="DefaultParagraphFont"/>
    <w:uiPriority w:val="99"/>
    <w:semiHidden/>
    <w:unhideWhenUsed/>
    <w:rsid w:val="004C29A6"/>
    <w:rPr>
      <w:vertAlign w:val="superscript"/>
    </w:rPr>
  </w:style>
  <w:style w:type="paragraph" w:customStyle="1" w:styleId="xmsonormal">
    <w:name w:val="x_msonormal"/>
    <w:basedOn w:val="Normal"/>
    <w:rsid w:val="006944FC"/>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6944FC"/>
    <w:pPr>
      <w:spacing w:after="0" w:line="240" w:lineRule="auto"/>
      <w:ind w:left="720"/>
    </w:pPr>
    <w:rPr>
      <w:rFonts w:ascii="Calibri" w:hAnsi="Calibri" w:cs="Calibri"/>
      <w:kern w:val="0"/>
      <w:lang w:eastAsia="en-GB"/>
      <w14:ligatures w14:val="none"/>
    </w:rPr>
  </w:style>
  <w:style w:type="character" w:styleId="CommentReference">
    <w:name w:val="annotation reference"/>
    <w:rsid w:val="0048409B"/>
    <w:rPr>
      <w:sz w:val="16"/>
      <w:szCs w:val="16"/>
    </w:rPr>
  </w:style>
  <w:style w:type="paragraph" w:styleId="CommentText">
    <w:name w:val="annotation text"/>
    <w:basedOn w:val="Normal"/>
    <w:link w:val="CommentTextChar"/>
    <w:rsid w:val="0048409B"/>
    <w:pPr>
      <w:spacing w:after="200" w:line="240" w:lineRule="auto"/>
    </w:pPr>
    <w:rPr>
      <w:rFonts w:ascii="Calibri" w:eastAsia="Times New Roman" w:hAnsi="Calibri" w:cs="Times New Roman"/>
      <w:kern w:val="0"/>
      <w:sz w:val="20"/>
      <w:szCs w:val="20"/>
      <w:lang w:val="en-US"/>
      <w14:ligatures w14:val="none"/>
    </w:rPr>
  </w:style>
  <w:style w:type="character" w:customStyle="1" w:styleId="CommentTextChar">
    <w:name w:val="Comment Text Char"/>
    <w:basedOn w:val="DefaultParagraphFont"/>
    <w:link w:val="CommentText"/>
    <w:rsid w:val="0048409B"/>
    <w:rPr>
      <w:rFonts w:ascii="Calibri" w:eastAsia="Times New Roman" w:hAnsi="Calibri" w:cs="Times New Roman"/>
      <w:kern w:val="0"/>
      <w:sz w:val="20"/>
      <w:szCs w:val="20"/>
      <w14:ligatures w14:val="none"/>
    </w:rPr>
  </w:style>
  <w:style w:type="table" w:styleId="TableGrid">
    <w:name w:val="Table Grid"/>
    <w:basedOn w:val="TableNormal"/>
    <w:rsid w:val="00A6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0E47"/>
    <w:pPr>
      <w:spacing w:after="160"/>
    </w:pPr>
    <w:rPr>
      <w:rFonts w:ascii="Arial" w:eastAsiaTheme="minorHAnsi" w:hAnsi="Arial" w:cstheme="minorBidi"/>
      <w:b/>
      <w:bCs/>
      <w:kern w:val="2"/>
      <w:lang w:val="en-GB"/>
      <w14:ligatures w14:val="standardContextual"/>
    </w:rPr>
  </w:style>
  <w:style w:type="character" w:customStyle="1" w:styleId="CommentSubjectChar">
    <w:name w:val="Comment Subject Char"/>
    <w:basedOn w:val="CommentTextChar"/>
    <w:link w:val="CommentSubject"/>
    <w:uiPriority w:val="99"/>
    <w:semiHidden/>
    <w:rsid w:val="00D10E47"/>
    <w:rPr>
      <w:rFonts w:ascii="Calibri" w:eastAsia="Times New Roman" w:hAnsi="Calibri" w:cs="Times New Roman"/>
      <w:b/>
      <w:bCs/>
      <w:kern w:val="0"/>
      <w:sz w:val="20"/>
      <w:szCs w:val="20"/>
      <w:lang w:val="en-GB"/>
      <w14:ligatures w14:val="none"/>
    </w:rPr>
  </w:style>
  <w:style w:type="paragraph" w:styleId="Header">
    <w:name w:val="header"/>
    <w:basedOn w:val="Normal"/>
    <w:link w:val="HeaderChar"/>
    <w:unhideWhenUsed/>
    <w:rsid w:val="00C76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133"/>
    <w:rPr>
      <w:lang w:val="en-GB"/>
    </w:rPr>
  </w:style>
  <w:style w:type="paragraph" w:styleId="Footer">
    <w:name w:val="footer"/>
    <w:basedOn w:val="Normal"/>
    <w:link w:val="FooterChar"/>
    <w:uiPriority w:val="99"/>
    <w:unhideWhenUsed/>
    <w:rsid w:val="00D66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E4"/>
    <w:rPr>
      <w:lang w:val="en-GB"/>
    </w:rPr>
  </w:style>
  <w:style w:type="character" w:customStyle="1" w:styleId="Heading1Char">
    <w:name w:val="Heading 1 Char"/>
    <w:basedOn w:val="DefaultParagraphFont"/>
    <w:link w:val="Heading1"/>
    <w:rsid w:val="00BE527C"/>
    <w:rPr>
      <w:rFonts w:eastAsia="Times New Roman" w:cs="Arial"/>
      <w:b/>
      <w:bCs/>
      <w:color w:val="1C437E"/>
      <w:kern w:val="32"/>
      <w:sz w:val="42"/>
      <w:szCs w:val="32"/>
      <w:lang w:val="en-GB"/>
      <w14:ligatures w14:val="none"/>
    </w:rPr>
  </w:style>
  <w:style w:type="character" w:customStyle="1" w:styleId="Heading2Char">
    <w:name w:val="Heading 2 Char"/>
    <w:basedOn w:val="DefaultParagraphFont"/>
    <w:link w:val="Heading2"/>
    <w:rsid w:val="00BE527C"/>
    <w:rPr>
      <w:rFonts w:ascii="Calibri" w:eastAsia="Times New Roman" w:hAnsi="Calibri" w:cs="Arial"/>
      <w:bCs/>
      <w:iCs/>
      <w:color w:val="1C437E"/>
      <w:kern w:val="0"/>
      <w:sz w:val="28"/>
      <w:szCs w:val="28"/>
      <w:lang w:val="en-GB"/>
      <w14:ligatures w14:val="none"/>
    </w:rPr>
  </w:style>
  <w:style w:type="character" w:customStyle="1" w:styleId="Heading3Char">
    <w:name w:val="Heading 3 Char"/>
    <w:basedOn w:val="DefaultParagraphFont"/>
    <w:link w:val="Heading3"/>
    <w:rsid w:val="00BE527C"/>
    <w:rPr>
      <w:rFonts w:ascii="Calibri" w:eastAsia="Times New Roman" w:hAnsi="Calibri" w:cs="Arial"/>
      <w:b/>
      <w:bCs/>
      <w:color w:val="1C437E"/>
      <w:kern w:val="0"/>
      <w:sz w:val="20"/>
      <w:szCs w:val="26"/>
      <w:lang w:val="en-GB"/>
      <w14:ligatures w14:val="none"/>
    </w:rPr>
  </w:style>
  <w:style w:type="character" w:customStyle="1" w:styleId="Heading4Char">
    <w:name w:val="Heading 4 Char"/>
    <w:basedOn w:val="DefaultParagraphFont"/>
    <w:link w:val="Heading4"/>
    <w:rsid w:val="001E4B58"/>
    <w:rPr>
      <w:b/>
      <w:bCs/>
      <w:lang w:val="en-GB"/>
    </w:rPr>
  </w:style>
  <w:style w:type="character" w:customStyle="1" w:styleId="Heading5Char">
    <w:name w:val="Heading 5 Char"/>
    <w:basedOn w:val="DefaultParagraphFont"/>
    <w:link w:val="Heading5"/>
    <w:rsid w:val="00BE527C"/>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rsid w:val="00BE527C"/>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BE527C"/>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BE527C"/>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BE527C"/>
    <w:rPr>
      <w:rFonts w:eastAsia="Times New Roman" w:cs="Arial"/>
      <w:kern w:val="0"/>
      <w14:ligatures w14:val="none"/>
    </w:rPr>
  </w:style>
  <w:style w:type="character" w:styleId="PageNumber">
    <w:name w:val="page number"/>
    <w:basedOn w:val="DefaultParagraphFont"/>
    <w:rsid w:val="00BE527C"/>
  </w:style>
  <w:style w:type="character" w:styleId="Mention">
    <w:name w:val="Mention"/>
    <w:basedOn w:val="DefaultParagraphFont"/>
    <w:uiPriority w:val="99"/>
    <w:unhideWhenUsed/>
    <w:rsid w:val="00BE527C"/>
    <w:rPr>
      <w:color w:val="2B579A"/>
      <w:shd w:val="clear" w:color="auto" w:fill="E1DFDD"/>
    </w:rPr>
  </w:style>
  <w:style w:type="character" w:styleId="Hyperlink">
    <w:name w:val="Hyperlink"/>
    <w:basedOn w:val="DefaultParagraphFont"/>
    <w:uiPriority w:val="99"/>
    <w:unhideWhenUsed/>
    <w:rsid w:val="001E4B58"/>
    <w:rPr>
      <w:color w:val="33578E" w:themeColor="hyperlink"/>
      <w:u w:val="single"/>
    </w:rPr>
  </w:style>
  <w:style w:type="character" w:styleId="UnresolvedMention">
    <w:name w:val="Unresolved Mention"/>
    <w:basedOn w:val="DefaultParagraphFont"/>
    <w:uiPriority w:val="99"/>
    <w:semiHidden/>
    <w:unhideWhenUsed/>
    <w:rsid w:val="001E4B58"/>
    <w:rPr>
      <w:color w:val="605E5C"/>
      <w:shd w:val="clear" w:color="auto" w:fill="E1DFDD"/>
    </w:rPr>
  </w:style>
  <w:style w:type="paragraph" w:styleId="Revision">
    <w:name w:val="Revision"/>
    <w:hidden/>
    <w:uiPriority w:val="99"/>
    <w:semiHidden/>
    <w:rsid w:val="00366B5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1061">
      <w:bodyDiv w:val="1"/>
      <w:marLeft w:val="0"/>
      <w:marRight w:val="0"/>
      <w:marTop w:val="0"/>
      <w:marBottom w:val="0"/>
      <w:divBdr>
        <w:top w:val="none" w:sz="0" w:space="0" w:color="auto"/>
        <w:left w:val="none" w:sz="0" w:space="0" w:color="auto"/>
        <w:bottom w:val="none" w:sz="0" w:space="0" w:color="auto"/>
        <w:right w:val="none" w:sz="0" w:space="0" w:color="auto"/>
      </w:divBdr>
    </w:div>
    <w:div w:id="552272028">
      <w:bodyDiv w:val="1"/>
      <w:marLeft w:val="0"/>
      <w:marRight w:val="0"/>
      <w:marTop w:val="0"/>
      <w:marBottom w:val="0"/>
      <w:divBdr>
        <w:top w:val="none" w:sz="0" w:space="0" w:color="auto"/>
        <w:left w:val="none" w:sz="0" w:space="0" w:color="auto"/>
        <w:bottom w:val="none" w:sz="0" w:space="0" w:color="auto"/>
        <w:right w:val="none" w:sz="0" w:space="0" w:color="auto"/>
      </w:divBdr>
    </w:div>
    <w:div w:id="1771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Slides">
  <a:themeElements>
    <a:clrScheme name="Custom 1">
      <a:dk1>
        <a:srgbClr val="3F3F3F"/>
      </a:dk1>
      <a:lt1>
        <a:srgbClr val="FFFFFF"/>
      </a:lt1>
      <a:dk2>
        <a:srgbClr val="002D72"/>
      </a:dk2>
      <a:lt2>
        <a:srgbClr val="FFFFFF"/>
      </a:lt2>
      <a:accent1>
        <a:srgbClr val="0097A9"/>
      </a:accent1>
      <a:accent2>
        <a:srgbClr val="A2B2C8"/>
      </a:accent2>
      <a:accent3>
        <a:srgbClr val="F6B21B"/>
      </a:accent3>
      <a:accent4>
        <a:srgbClr val="6BCABA"/>
      </a:accent4>
      <a:accent5>
        <a:srgbClr val="66C1CB"/>
      </a:accent5>
      <a:accent6>
        <a:srgbClr val="C7D1DE"/>
      </a:accent6>
      <a:hlink>
        <a:srgbClr val="33578E"/>
      </a:hlink>
      <a:folHlink>
        <a:srgbClr val="829AA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SE_Group_PowerPoint_Template use" id="{E4657FDB-B5CC-4A41-BF6D-183D81AD8D22}" vid="{1F5C7FD9-EB8F-2541-9465-A7ED687554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1f69e80-fefa-4ad1-9a16-f85c648d7492">
      <Terms xmlns="http://schemas.microsoft.com/office/infopath/2007/PartnerControls"/>
    </lcf76f155ced4ddcb4097134ff3c332f>
    <TaxCatchAll xmlns="59ee7e58-6d84-4128-8c4e-a33640f2aae3" xsi:nil="true"/>
    <SharedWithUsers xmlns="59ee7e58-6d84-4128-8c4e-a33640f2aae3">
      <UserInfo>
        <DisplayName>Tanner, Liz (General Counsel)</DisplayName>
        <AccountId>56</AccountId>
        <AccountType/>
      </UserInfo>
      <UserInfo>
        <DisplayName>OConnor, Barney</DisplayName>
        <AccountId>15</AccountId>
        <AccountType/>
      </UserInfo>
      <UserInfo>
        <DisplayName>Lawns, Peter</DisplayName>
        <AccountId>18</AccountId>
        <AccountType/>
      </UserInfo>
      <UserInfo>
        <DisplayName>Gill, Kathryn</DisplayName>
        <AccountId>21</AccountId>
        <AccountType/>
      </UserInfo>
    </SharedWithUsers>
    <Subsidiary xmlns="59ee7e58-6d84-4128-8c4e-a33640f2aae3" xsi:nil="true"/>
    <PCG_x0020_Summary xmlns="59ee7e58-6d84-4128-8c4e-a33640f2aae3" xsi:nil="true"/>
    <Business_x0020_Area xmlns="59ee7e58-6d84-4128-8c4e-a33640f2aae3">Distributed Energy</Business_x0020_Area>
    <Guarantor xmlns="59ee7e58-6d84-4128-8c4e-a33640f2aae3" xsi:nil="true"/>
    <Beneficiary xmlns="59ee7e58-6d84-4128-8c4e-a33640f2aae3" xsi:nil="true"/>
  </documentManagement>
</p:properties>
</file>

<file path=customXml/itemProps1.xml><?xml version="1.0" encoding="utf-8"?>
<ds:datastoreItem xmlns:ds="http://schemas.openxmlformats.org/officeDocument/2006/customXml" ds:itemID="{146E4171-E97D-4C09-AACF-2E37D61F971A}">
  <ds:schemaRefs>
    <ds:schemaRef ds:uri="http://schemas.microsoft.com/sharepoint/v3/contenttype/forms"/>
  </ds:schemaRefs>
</ds:datastoreItem>
</file>

<file path=customXml/itemProps2.xml><?xml version="1.0" encoding="utf-8"?>
<ds:datastoreItem xmlns:ds="http://schemas.openxmlformats.org/officeDocument/2006/customXml" ds:itemID="{57B231FC-C869-4D59-8711-FDB14049067A}">
  <ds:schemaRefs>
    <ds:schemaRef ds:uri="http://schemas.openxmlformats.org/officeDocument/2006/bibliography"/>
  </ds:schemaRefs>
</ds:datastoreItem>
</file>

<file path=customXml/itemProps3.xml><?xml version="1.0" encoding="utf-8"?>
<ds:datastoreItem xmlns:ds="http://schemas.openxmlformats.org/officeDocument/2006/customXml" ds:itemID="{A9D727E1-8705-47DB-BE26-623FE1AAA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B812E-69A0-4398-940E-24B04D72D8A7}">
  <ds:schemaRefs>
    <ds:schemaRef ds:uri="http://schemas.microsoft.com/office/2006/metadata/properties"/>
    <ds:schemaRef ds:uri="http://schemas.microsoft.com/office/infopath/2007/PartnerControls"/>
    <ds:schemaRef ds:uri="http://schemas.microsoft.com/sharepoint/v3"/>
    <ds:schemaRef ds:uri="e1f69e80-fefa-4ad1-9a16-f85c648d7492"/>
    <ds:schemaRef ds:uri="59ee7e58-6d84-4128-8c4e-a33640f2aae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1402</Words>
  <Characters>7994</Characters>
  <Application>Microsoft Office Word</Application>
  <DocSecurity>0</DocSecurity>
  <Lines>66</Lines>
  <Paragraphs>18</Paragraphs>
  <ScaleCrop>false</ScaleCrop>
  <Company>SSE PLC</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Reserved Matters for the Board</dc:title>
  <dc:subject/>
  <dc:creator>Gill, Kathryn</dc:creator>
  <cp:keywords/>
  <dc:description/>
  <cp:lastModifiedBy>Aird, Fraser</cp:lastModifiedBy>
  <cp:revision>20</cp:revision>
  <dcterms:created xsi:type="dcterms:W3CDTF">2024-05-31T02:55:00Z</dcterms:created>
  <dcterms:modified xsi:type="dcterms:W3CDTF">2024-12-16T09:39:00Z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1,2,3</vt:lpwstr>
  </property>
  <property fmtid="{D5CDD505-2E9C-101B-9397-08002B2CF9AE}" pid="3" name="ClassificationWatermarkFontProps">
    <vt:lpwstr>#dcdcdc,1,Calibri</vt:lpwstr>
  </property>
  <property fmtid="{D5CDD505-2E9C-101B-9397-08002B2CF9AE}" pid="4" name="ClassificationWatermarkText">
    <vt:lpwstr>Confidential</vt:lpwstr>
  </property>
  <property fmtid="{D5CDD505-2E9C-101B-9397-08002B2CF9AE}" pid="5" name="MSIP_Label_9a1593e3-eb40-4b63-9198-a6ec3e998e52_Enabled">
    <vt:lpwstr>true</vt:lpwstr>
  </property>
  <property fmtid="{D5CDD505-2E9C-101B-9397-08002B2CF9AE}" pid="6" name="MSIP_Label_9a1593e3-eb40-4b63-9198-a6ec3e998e52_SetDate">
    <vt:lpwstr>2023-09-24T11:03:41Z</vt:lpwstr>
  </property>
  <property fmtid="{D5CDD505-2E9C-101B-9397-08002B2CF9AE}" pid="7" name="MSIP_Label_9a1593e3-eb40-4b63-9198-a6ec3e998e52_Method">
    <vt:lpwstr>Privileged</vt:lpwstr>
  </property>
  <property fmtid="{D5CDD505-2E9C-101B-9397-08002B2CF9AE}" pid="8" name="MSIP_Label_9a1593e3-eb40-4b63-9198-a6ec3e998e52_Name">
    <vt:lpwstr>9a1593e3-eb40-4b63-9198-a6ec3e998e52</vt:lpwstr>
  </property>
  <property fmtid="{D5CDD505-2E9C-101B-9397-08002B2CF9AE}" pid="9" name="MSIP_Label_9a1593e3-eb40-4b63-9198-a6ec3e998e52_SiteId">
    <vt:lpwstr>953b0f83-1ce6-45c3-82c9-1d847e372339</vt:lpwstr>
  </property>
  <property fmtid="{D5CDD505-2E9C-101B-9397-08002B2CF9AE}" pid="10" name="MSIP_Label_9a1593e3-eb40-4b63-9198-a6ec3e998e52_ActionId">
    <vt:lpwstr>e0fa589e-3a68-4831-a80b-8c1113a19f7a</vt:lpwstr>
  </property>
  <property fmtid="{D5CDD505-2E9C-101B-9397-08002B2CF9AE}" pid="11" name="MSIP_Label_9a1593e3-eb40-4b63-9198-a6ec3e998e52_ContentBits">
    <vt:lpwstr>4</vt:lpwstr>
  </property>
  <property fmtid="{D5CDD505-2E9C-101B-9397-08002B2CF9AE}" pid="12" name="ContentTypeId">
    <vt:lpwstr>0x01010001A3D6485460E048ADC8A2B8E7173193</vt:lpwstr>
  </property>
  <property fmtid="{D5CDD505-2E9C-101B-9397-08002B2CF9AE}" pid="13" name="MediaServiceImageTags">
    <vt:lpwstr/>
  </property>
  <property fmtid="{D5CDD505-2E9C-101B-9397-08002B2CF9AE}" pid="14" name="Country_x002b_">
    <vt:lpwstr/>
  </property>
  <property fmtid="{D5CDD505-2E9C-101B-9397-08002B2CF9AE}" pid="15" name="Country+">
    <vt:lpwstr/>
  </property>
</Properties>
</file>