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320"/>
        <w:gridCol w:w="2006"/>
        <w:gridCol w:w="2006"/>
      </w:tblGrid>
      <w:tr w:rsidR="003D432F" w:rsidRPr="004A7469" w14:paraId="2C370DAE" w14:textId="77777777" w:rsidTr="00204F46">
        <w:trPr>
          <w:trHeight w:val="465"/>
          <w:jc w:val="center"/>
        </w:trPr>
        <w:tc>
          <w:tcPr>
            <w:tcW w:w="1502" w:type="pct"/>
            <w:vAlign w:val="center"/>
          </w:tcPr>
          <w:p w14:paraId="58F47154" w14:textId="0A6F56DD" w:rsidR="003D432F" w:rsidRPr="004A7469" w:rsidRDefault="003D432F" w:rsidP="00C821A7">
            <w:pPr>
              <w:spacing w:after="0"/>
              <w:rPr>
                <w:rFonts w:ascii="Arial" w:hAnsi="Arial" w:cs="Arial"/>
                <w:sz w:val="22"/>
                <w:szCs w:val="22"/>
              </w:rPr>
            </w:pPr>
            <w:r w:rsidRPr="004A7469">
              <w:rPr>
                <w:rFonts w:ascii="Arial" w:hAnsi="Arial" w:cs="Arial"/>
                <w:sz w:val="22"/>
                <w:szCs w:val="22"/>
              </w:rPr>
              <w:t>The Author/Owner of this document is:</w:t>
            </w:r>
          </w:p>
        </w:tc>
        <w:tc>
          <w:tcPr>
            <w:tcW w:w="1584" w:type="pct"/>
            <w:vAlign w:val="center"/>
          </w:tcPr>
          <w:p w14:paraId="34AC800E" w14:textId="77777777" w:rsidR="003D432F" w:rsidRPr="004A7469" w:rsidRDefault="003D432F" w:rsidP="00C821A7">
            <w:pPr>
              <w:spacing w:after="0"/>
              <w:rPr>
                <w:rFonts w:ascii="Arial" w:hAnsi="Arial" w:cs="Arial"/>
                <w:sz w:val="22"/>
                <w:szCs w:val="22"/>
              </w:rPr>
            </w:pPr>
            <w:r w:rsidRPr="004A7469">
              <w:rPr>
                <w:rFonts w:ascii="Arial" w:hAnsi="Arial" w:cs="Arial"/>
                <w:sz w:val="22"/>
                <w:szCs w:val="22"/>
              </w:rPr>
              <w:t>This document has been approved</w:t>
            </w:r>
            <w:r w:rsidR="00204F46" w:rsidRPr="004A7469">
              <w:rPr>
                <w:rFonts w:ascii="Arial" w:hAnsi="Arial" w:cs="Arial"/>
                <w:sz w:val="22"/>
                <w:szCs w:val="22"/>
              </w:rPr>
              <w:t xml:space="preserve"> </w:t>
            </w:r>
            <w:r w:rsidRPr="004A7469">
              <w:rPr>
                <w:rFonts w:ascii="Arial" w:hAnsi="Arial" w:cs="Arial"/>
                <w:sz w:val="22"/>
                <w:szCs w:val="22"/>
              </w:rPr>
              <w:t>for issue by:</w:t>
            </w:r>
          </w:p>
        </w:tc>
        <w:tc>
          <w:tcPr>
            <w:tcW w:w="957" w:type="pct"/>
            <w:vAlign w:val="center"/>
          </w:tcPr>
          <w:p w14:paraId="58B95913" w14:textId="77777777" w:rsidR="003D432F" w:rsidRPr="004A7469" w:rsidRDefault="003D432F" w:rsidP="00C821A7">
            <w:pPr>
              <w:spacing w:after="0"/>
              <w:rPr>
                <w:rFonts w:ascii="Arial" w:hAnsi="Arial" w:cs="Arial"/>
                <w:sz w:val="22"/>
                <w:szCs w:val="22"/>
              </w:rPr>
            </w:pPr>
            <w:r w:rsidRPr="004A7469">
              <w:rPr>
                <w:rFonts w:ascii="Arial" w:hAnsi="Arial" w:cs="Arial"/>
                <w:sz w:val="22"/>
                <w:szCs w:val="22"/>
              </w:rPr>
              <w:t>Date of Issue</w:t>
            </w:r>
            <w:r w:rsidR="00FE77E5" w:rsidRPr="004A7469">
              <w:rPr>
                <w:rFonts w:ascii="Arial" w:hAnsi="Arial" w:cs="Arial"/>
                <w:sz w:val="22"/>
                <w:szCs w:val="22"/>
              </w:rPr>
              <w:t>:</w:t>
            </w:r>
          </w:p>
        </w:tc>
        <w:tc>
          <w:tcPr>
            <w:tcW w:w="957" w:type="pct"/>
            <w:vAlign w:val="center"/>
          </w:tcPr>
          <w:p w14:paraId="599B0C63" w14:textId="77777777" w:rsidR="003D432F" w:rsidRPr="004A7469" w:rsidRDefault="003D432F" w:rsidP="00C821A7">
            <w:pPr>
              <w:spacing w:after="0"/>
              <w:rPr>
                <w:rFonts w:ascii="Arial" w:hAnsi="Arial" w:cs="Arial"/>
                <w:sz w:val="22"/>
                <w:szCs w:val="22"/>
              </w:rPr>
            </w:pPr>
            <w:r w:rsidRPr="004A7469">
              <w:rPr>
                <w:rFonts w:ascii="Arial" w:hAnsi="Arial" w:cs="Arial"/>
                <w:sz w:val="22"/>
                <w:szCs w:val="22"/>
              </w:rPr>
              <w:t>Review Date:</w:t>
            </w:r>
          </w:p>
        </w:tc>
      </w:tr>
      <w:tr w:rsidR="003D432F" w:rsidRPr="004A7469" w14:paraId="1EFDB361" w14:textId="77777777" w:rsidTr="00204F46">
        <w:trPr>
          <w:trHeight w:val="465"/>
          <w:jc w:val="center"/>
        </w:trPr>
        <w:tc>
          <w:tcPr>
            <w:tcW w:w="1502" w:type="pct"/>
            <w:vAlign w:val="center"/>
          </w:tcPr>
          <w:p w14:paraId="57148C46" w14:textId="7CA66396" w:rsidR="003D432F" w:rsidRPr="004A7469" w:rsidRDefault="00465309" w:rsidP="00C821A7">
            <w:pPr>
              <w:spacing w:after="0"/>
              <w:rPr>
                <w:rFonts w:ascii="Arial" w:hAnsi="Arial" w:cs="Arial"/>
                <w:sz w:val="22"/>
                <w:szCs w:val="22"/>
              </w:rPr>
            </w:pPr>
            <w:r w:rsidRPr="004A7469">
              <w:rPr>
                <w:rFonts w:ascii="Arial" w:hAnsi="Arial" w:cs="Arial"/>
                <w:sz w:val="22"/>
                <w:szCs w:val="22"/>
              </w:rPr>
              <w:t xml:space="preserve">Audit </w:t>
            </w:r>
            <w:r w:rsidR="00FC07E5" w:rsidRPr="004A7469">
              <w:rPr>
                <w:rFonts w:ascii="Arial" w:hAnsi="Arial" w:cs="Arial"/>
                <w:sz w:val="22"/>
                <w:szCs w:val="22"/>
              </w:rPr>
              <w:t>Committee Secretary</w:t>
            </w:r>
          </w:p>
        </w:tc>
        <w:tc>
          <w:tcPr>
            <w:tcW w:w="1584" w:type="pct"/>
            <w:vAlign w:val="center"/>
          </w:tcPr>
          <w:p w14:paraId="4A563EE2" w14:textId="77777777" w:rsidR="003D432F" w:rsidRPr="004A7469" w:rsidRDefault="00A52858" w:rsidP="00C821A7">
            <w:pPr>
              <w:spacing w:after="0"/>
              <w:rPr>
                <w:rFonts w:ascii="Arial" w:hAnsi="Arial" w:cs="Arial"/>
                <w:sz w:val="22"/>
                <w:szCs w:val="22"/>
              </w:rPr>
            </w:pPr>
            <w:r w:rsidRPr="004A7469">
              <w:rPr>
                <w:rFonts w:ascii="Arial" w:hAnsi="Arial" w:cs="Arial"/>
                <w:sz w:val="22"/>
                <w:szCs w:val="22"/>
              </w:rPr>
              <w:t>Board</w:t>
            </w:r>
          </w:p>
        </w:tc>
        <w:tc>
          <w:tcPr>
            <w:tcW w:w="957" w:type="pct"/>
            <w:vAlign w:val="center"/>
          </w:tcPr>
          <w:p w14:paraId="69B73BB1" w14:textId="2759196C" w:rsidR="003D432F" w:rsidRPr="004A7469" w:rsidRDefault="00930520" w:rsidP="00C821A7">
            <w:pPr>
              <w:spacing w:after="0"/>
              <w:rPr>
                <w:rFonts w:ascii="Arial" w:hAnsi="Arial" w:cs="Arial"/>
                <w:sz w:val="22"/>
                <w:szCs w:val="22"/>
              </w:rPr>
            </w:pPr>
            <w:r>
              <w:rPr>
                <w:rFonts w:ascii="Arial" w:hAnsi="Arial" w:cs="Arial"/>
                <w:sz w:val="22"/>
                <w:szCs w:val="22"/>
              </w:rPr>
              <w:t>January 2026</w:t>
            </w:r>
          </w:p>
        </w:tc>
        <w:tc>
          <w:tcPr>
            <w:tcW w:w="957" w:type="pct"/>
            <w:vAlign w:val="center"/>
          </w:tcPr>
          <w:p w14:paraId="3579DC1A" w14:textId="58058501" w:rsidR="003D432F" w:rsidRPr="004A7469" w:rsidRDefault="00930520" w:rsidP="00C821A7">
            <w:pPr>
              <w:spacing w:after="0"/>
              <w:rPr>
                <w:rFonts w:ascii="Arial" w:hAnsi="Arial" w:cs="Arial"/>
                <w:sz w:val="22"/>
                <w:szCs w:val="22"/>
              </w:rPr>
            </w:pPr>
            <w:r>
              <w:rPr>
                <w:rFonts w:ascii="Arial" w:hAnsi="Arial" w:cs="Arial"/>
                <w:sz w:val="22"/>
                <w:szCs w:val="22"/>
              </w:rPr>
              <w:t>January 2027</w:t>
            </w:r>
          </w:p>
        </w:tc>
      </w:tr>
    </w:tbl>
    <w:p w14:paraId="05D7533A" w14:textId="607DF755" w:rsidR="00283B16" w:rsidRPr="004A7469" w:rsidRDefault="00283B16" w:rsidP="00283B16">
      <w:pPr>
        <w:pStyle w:val="Heading2"/>
        <w:numPr>
          <w:ilvl w:val="0"/>
          <w:numId w:val="0"/>
        </w:numPr>
        <w:spacing w:before="0" w:after="0"/>
        <w:contextualSpacing w:val="0"/>
        <w:rPr>
          <w:rFonts w:ascii="Arial" w:hAnsi="Arial"/>
          <w:b/>
          <w:bCs w:val="0"/>
          <w:sz w:val="22"/>
          <w:szCs w:val="22"/>
        </w:rPr>
      </w:pPr>
    </w:p>
    <w:p w14:paraId="30A09A62" w14:textId="0268B3A9" w:rsidR="00E21CA5" w:rsidRPr="004A7469" w:rsidRDefault="00C821A7" w:rsidP="00283B16">
      <w:pPr>
        <w:pStyle w:val="Heading2"/>
        <w:numPr>
          <w:ilvl w:val="0"/>
          <w:numId w:val="0"/>
        </w:numPr>
        <w:spacing w:before="0" w:after="0"/>
        <w:contextualSpacing w:val="0"/>
        <w:rPr>
          <w:rFonts w:ascii="Arial" w:hAnsi="Arial"/>
          <w:b/>
          <w:bCs w:val="0"/>
          <w:sz w:val="22"/>
          <w:szCs w:val="22"/>
        </w:rPr>
      </w:pPr>
      <w:r w:rsidRPr="004A7469">
        <w:rPr>
          <w:rFonts w:ascii="Arial" w:hAnsi="Arial"/>
          <w:b/>
          <w:bCs w:val="0"/>
          <w:sz w:val="22"/>
          <w:szCs w:val="22"/>
        </w:rPr>
        <w:t>1.</w:t>
      </w:r>
      <w:r w:rsidR="004E5127" w:rsidRPr="004A7469">
        <w:rPr>
          <w:rFonts w:ascii="Arial" w:hAnsi="Arial"/>
          <w:b/>
          <w:bCs w:val="0"/>
          <w:sz w:val="22"/>
          <w:szCs w:val="22"/>
        </w:rPr>
        <w:t xml:space="preserve"> </w:t>
      </w:r>
      <w:r w:rsidRPr="004A7469">
        <w:rPr>
          <w:rFonts w:ascii="Arial" w:hAnsi="Arial"/>
          <w:b/>
          <w:bCs w:val="0"/>
          <w:sz w:val="22"/>
          <w:szCs w:val="22"/>
        </w:rPr>
        <w:t>INTRODUCTION</w:t>
      </w:r>
    </w:p>
    <w:p w14:paraId="1C4F71ED" w14:textId="435BEC78" w:rsidR="00C821A7" w:rsidRPr="004A7469" w:rsidRDefault="00C821A7" w:rsidP="00283B16">
      <w:pPr>
        <w:spacing w:after="0"/>
        <w:jc w:val="both"/>
        <w:rPr>
          <w:rFonts w:ascii="Arial" w:hAnsi="Arial" w:cs="Arial"/>
          <w:sz w:val="22"/>
          <w:szCs w:val="22"/>
          <w:lang w:val="en-GB"/>
        </w:rPr>
      </w:pPr>
      <w:r w:rsidRPr="004A7469">
        <w:rPr>
          <w:rFonts w:ascii="Arial" w:hAnsi="Arial" w:cs="Arial"/>
          <w:sz w:val="22"/>
          <w:szCs w:val="22"/>
          <w:lang w:val="en-GB"/>
        </w:rPr>
        <w:t>Th</w:t>
      </w:r>
      <w:r w:rsidR="008021C0" w:rsidRPr="004A7469">
        <w:rPr>
          <w:rFonts w:ascii="Arial" w:hAnsi="Arial" w:cs="Arial"/>
          <w:sz w:val="22"/>
          <w:szCs w:val="22"/>
          <w:lang w:val="en-GB"/>
        </w:rPr>
        <w:t>e Non-Audit Services</w:t>
      </w:r>
      <w:r w:rsidRPr="004A7469">
        <w:rPr>
          <w:rFonts w:ascii="Arial" w:hAnsi="Arial" w:cs="Arial"/>
          <w:sz w:val="22"/>
          <w:szCs w:val="22"/>
          <w:lang w:val="en-GB"/>
        </w:rPr>
        <w:t xml:space="preserve"> </w:t>
      </w:r>
      <w:r w:rsidR="008021C0" w:rsidRPr="004A7469">
        <w:rPr>
          <w:rFonts w:ascii="Arial" w:hAnsi="Arial" w:cs="Arial"/>
          <w:sz w:val="22"/>
          <w:szCs w:val="22"/>
          <w:lang w:val="en-GB"/>
        </w:rPr>
        <w:t>P</w:t>
      </w:r>
      <w:r w:rsidR="00FA297B" w:rsidRPr="004A7469">
        <w:rPr>
          <w:rFonts w:ascii="Arial" w:hAnsi="Arial" w:cs="Arial"/>
          <w:sz w:val="22"/>
          <w:szCs w:val="22"/>
          <w:lang w:val="en-GB"/>
        </w:rPr>
        <w:t>rocedure</w:t>
      </w:r>
      <w:r w:rsidRPr="004A7469">
        <w:rPr>
          <w:rFonts w:ascii="Arial" w:hAnsi="Arial" w:cs="Arial"/>
          <w:sz w:val="22"/>
          <w:szCs w:val="22"/>
          <w:lang w:val="en-GB"/>
        </w:rPr>
        <w:t xml:space="preserve"> </w:t>
      </w:r>
      <w:r w:rsidR="008021C0" w:rsidRPr="004A7469">
        <w:rPr>
          <w:rFonts w:ascii="Arial" w:hAnsi="Arial" w:cs="Arial"/>
          <w:sz w:val="22"/>
          <w:szCs w:val="22"/>
          <w:lang w:val="en-GB"/>
        </w:rPr>
        <w:t>enables</w:t>
      </w:r>
      <w:r w:rsidRPr="004A7469">
        <w:rPr>
          <w:rFonts w:ascii="Arial" w:hAnsi="Arial" w:cs="Arial"/>
          <w:sz w:val="22"/>
          <w:szCs w:val="22"/>
          <w:lang w:val="en-GB"/>
        </w:rPr>
        <w:t xml:space="preserve"> the Audit Committee </w:t>
      </w:r>
      <w:r w:rsidR="008021C0" w:rsidRPr="004A7469">
        <w:rPr>
          <w:rFonts w:ascii="Arial" w:hAnsi="Arial" w:cs="Arial"/>
          <w:sz w:val="22"/>
          <w:szCs w:val="22"/>
          <w:lang w:val="en-GB"/>
        </w:rPr>
        <w:t>to</w:t>
      </w:r>
      <w:r w:rsidR="00CC6BC6" w:rsidRPr="004A7469">
        <w:rPr>
          <w:rFonts w:ascii="Arial" w:hAnsi="Arial" w:cs="Arial"/>
          <w:sz w:val="22"/>
          <w:szCs w:val="22"/>
          <w:lang w:val="en-GB"/>
        </w:rPr>
        <w:t xml:space="preserve"> dischar</w:t>
      </w:r>
      <w:r w:rsidR="008021C0" w:rsidRPr="004A7469">
        <w:rPr>
          <w:rFonts w:ascii="Arial" w:hAnsi="Arial" w:cs="Arial"/>
          <w:sz w:val="22"/>
          <w:szCs w:val="22"/>
          <w:lang w:val="en-GB"/>
        </w:rPr>
        <w:t>ge i</w:t>
      </w:r>
      <w:r w:rsidRPr="004A7469">
        <w:rPr>
          <w:rFonts w:ascii="Arial" w:hAnsi="Arial" w:cs="Arial"/>
          <w:sz w:val="22"/>
          <w:szCs w:val="22"/>
          <w:lang w:val="en-GB"/>
        </w:rPr>
        <w:t>ts responsibility for monitoring and reviewing the indep</w:t>
      </w:r>
      <w:r w:rsidR="00596CD3" w:rsidRPr="004A7469">
        <w:rPr>
          <w:rFonts w:ascii="Arial" w:hAnsi="Arial" w:cs="Arial"/>
          <w:sz w:val="22"/>
          <w:szCs w:val="22"/>
          <w:lang w:val="en-GB"/>
        </w:rPr>
        <w:t>endence and objectivity of the External A</w:t>
      </w:r>
      <w:r w:rsidRPr="004A7469">
        <w:rPr>
          <w:rFonts w:ascii="Arial" w:hAnsi="Arial" w:cs="Arial"/>
          <w:sz w:val="22"/>
          <w:szCs w:val="22"/>
          <w:lang w:val="en-GB"/>
        </w:rPr>
        <w:t>uditor</w:t>
      </w:r>
      <w:r w:rsidR="008021C0" w:rsidRPr="004A7469">
        <w:rPr>
          <w:rFonts w:ascii="Arial" w:hAnsi="Arial" w:cs="Arial"/>
          <w:sz w:val="22"/>
          <w:szCs w:val="22"/>
          <w:lang w:val="en-GB"/>
        </w:rPr>
        <w:t xml:space="preserve"> in relation to non-audit services it provides, and sets out </w:t>
      </w:r>
      <w:r w:rsidRPr="004A7469">
        <w:rPr>
          <w:rFonts w:ascii="Arial" w:hAnsi="Arial" w:cs="Arial"/>
          <w:sz w:val="22"/>
          <w:szCs w:val="22"/>
          <w:lang w:val="en-GB"/>
        </w:rPr>
        <w:t>the approval process for non-audit services delivered by any audit firm</w:t>
      </w:r>
      <w:r w:rsidR="0055526A" w:rsidRPr="004A7469">
        <w:rPr>
          <w:rFonts w:ascii="Arial" w:hAnsi="Arial" w:cs="Arial"/>
          <w:sz w:val="22"/>
          <w:szCs w:val="22"/>
          <w:lang w:val="en-GB"/>
        </w:rPr>
        <w:t xml:space="preserve">. </w:t>
      </w:r>
      <w:r w:rsidR="008021C0" w:rsidRPr="004A7469">
        <w:rPr>
          <w:rFonts w:ascii="Arial" w:hAnsi="Arial" w:cs="Arial"/>
          <w:sz w:val="22"/>
          <w:szCs w:val="22"/>
          <w:lang w:val="en-GB"/>
        </w:rPr>
        <w:t xml:space="preserve"> Appendix 1 lists the permitted Non-Audit Servies.</w:t>
      </w:r>
    </w:p>
    <w:p w14:paraId="2ED26026" w14:textId="77777777" w:rsidR="00283B16" w:rsidRPr="004A7469" w:rsidRDefault="00283B16" w:rsidP="00283B16">
      <w:pPr>
        <w:spacing w:after="0"/>
        <w:jc w:val="both"/>
        <w:rPr>
          <w:rFonts w:ascii="Arial" w:hAnsi="Arial" w:cs="Arial"/>
          <w:sz w:val="22"/>
          <w:szCs w:val="22"/>
          <w:lang w:val="en-GB"/>
        </w:rPr>
      </w:pPr>
    </w:p>
    <w:p w14:paraId="57BF5D7B" w14:textId="77777777" w:rsidR="00C821A7" w:rsidRPr="004A7469" w:rsidRDefault="00C821A7" w:rsidP="00283B16">
      <w:pPr>
        <w:pStyle w:val="Heading2"/>
        <w:numPr>
          <w:ilvl w:val="0"/>
          <w:numId w:val="0"/>
        </w:numPr>
        <w:spacing w:before="0" w:after="0"/>
        <w:ind w:right="-286"/>
        <w:contextualSpacing w:val="0"/>
        <w:rPr>
          <w:rFonts w:ascii="Arial" w:hAnsi="Arial"/>
          <w:b/>
          <w:bCs w:val="0"/>
          <w:sz w:val="22"/>
          <w:szCs w:val="22"/>
        </w:rPr>
      </w:pPr>
      <w:r w:rsidRPr="004A7469">
        <w:rPr>
          <w:rFonts w:ascii="Arial" w:hAnsi="Arial"/>
          <w:b/>
          <w:bCs w:val="0"/>
          <w:sz w:val="22"/>
          <w:szCs w:val="22"/>
        </w:rPr>
        <w:t>2.</w:t>
      </w:r>
      <w:r w:rsidR="004E5127" w:rsidRPr="004A7469">
        <w:rPr>
          <w:rFonts w:ascii="Arial" w:hAnsi="Arial"/>
          <w:b/>
          <w:bCs w:val="0"/>
          <w:sz w:val="22"/>
          <w:szCs w:val="22"/>
        </w:rPr>
        <w:t xml:space="preserve"> </w:t>
      </w:r>
      <w:r w:rsidRPr="004A7469">
        <w:rPr>
          <w:rFonts w:ascii="Arial" w:hAnsi="Arial"/>
          <w:b/>
          <w:bCs w:val="0"/>
          <w:sz w:val="22"/>
          <w:szCs w:val="22"/>
        </w:rPr>
        <w:t xml:space="preserve">CATEGORIES OF </w:t>
      </w:r>
      <w:r w:rsidR="005A7640" w:rsidRPr="004A7469">
        <w:rPr>
          <w:rFonts w:ascii="Arial" w:hAnsi="Arial"/>
          <w:b/>
          <w:bCs w:val="0"/>
          <w:sz w:val="22"/>
          <w:szCs w:val="22"/>
        </w:rPr>
        <w:t xml:space="preserve">AUDIT-RELATED AND </w:t>
      </w:r>
      <w:r w:rsidRPr="004A7469">
        <w:rPr>
          <w:rFonts w:ascii="Arial" w:hAnsi="Arial"/>
          <w:b/>
          <w:bCs w:val="0"/>
          <w:sz w:val="22"/>
          <w:szCs w:val="22"/>
        </w:rPr>
        <w:t xml:space="preserve">NON-AUDIT </w:t>
      </w:r>
      <w:r w:rsidR="006A2D7F" w:rsidRPr="004A7469">
        <w:rPr>
          <w:rFonts w:ascii="Arial" w:hAnsi="Arial"/>
          <w:b/>
          <w:bCs w:val="0"/>
          <w:sz w:val="22"/>
          <w:szCs w:val="22"/>
        </w:rPr>
        <w:t xml:space="preserve">SERVICES </w:t>
      </w:r>
      <w:r w:rsidRPr="004A7469">
        <w:rPr>
          <w:rFonts w:ascii="Arial" w:hAnsi="Arial"/>
          <w:b/>
          <w:bCs w:val="0"/>
          <w:sz w:val="22"/>
          <w:szCs w:val="22"/>
        </w:rPr>
        <w:t>AND APPROVAL</w:t>
      </w:r>
      <w:r w:rsidR="004E5127" w:rsidRPr="004A7469">
        <w:rPr>
          <w:rFonts w:ascii="Arial" w:hAnsi="Arial"/>
          <w:b/>
          <w:bCs w:val="0"/>
          <w:sz w:val="22"/>
          <w:szCs w:val="22"/>
        </w:rPr>
        <w:t xml:space="preserve"> </w:t>
      </w:r>
      <w:r w:rsidRPr="004A7469">
        <w:rPr>
          <w:rFonts w:ascii="Arial" w:hAnsi="Arial"/>
          <w:b/>
          <w:bCs w:val="0"/>
          <w:sz w:val="22"/>
          <w:szCs w:val="22"/>
        </w:rPr>
        <w:t>REQUIREMENTS</w:t>
      </w:r>
    </w:p>
    <w:p w14:paraId="6372230E" w14:textId="77777777" w:rsidR="002D2CB5" w:rsidRPr="004A7469" w:rsidRDefault="001457E9" w:rsidP="008652C9">
      <w:pPr>
        <w:spacing w:after="120"/>
        <w:jc w:val="both"/>
        <w:rPr>
          <w:rFonts w:ascii="Arial" w:hAnsi="Arial" w:cs="Arial"/>
          <w:sz w:val="22"/>
          <w:szCs w:val="22"/>
          <w:lang w:val="en-GB"/>
        </w:rPr>
      </w:pPr>
      <w:r w:rsidRPr="004A7469">
        <w:rPr>
          <w:rFonts w:ascii="Arial" w:hAnsi="Arial" w:cs="Arial"/>
          <w:sz w:val="22"/>
          <w:szCs w:val="22"/>
          <w:lang w:val="en-GB"/>
        </w:rPr>
        <w:t>The b</w:t>
      </w:r>
      <w:r w:rsidR="00FC7937" w:rsidRPr="004A7469">
        <w:rPr>
          <w:rFonts w:ascii="Arial" w:hAnsi="Arial" w:cs="Arial"/>
          <w:sz w:val="22"/>
          <w:szCs w:val="22"/>
          <w:lang w:val="en-GB"/>
        </w:rPr>
        <w:t>elow table sets out the</w:t>
      </w:r>
      <w:r w:rsidR="00FE6AB3" w:rsidRPr="004A7469">
        <w:rPr>
          <w:rFonts w:ascii="Arial" w:hAnsi="Arial" w:cs="Arial"/>
          <w:sz w:val="22"/>
          <w:szCs w:val="22"/>
          <w:lang w:val="en-GB"/>
        </w:rPr>
        <w:t xml:space="preserve"> </w:t>
      </w:r>
      <w:r w:rsidR="00FC7937" w:rsidRPr="004A7469">
        <w:rPr>
          <w:rFonts w:ascii="Arial" w:hAnsi="Arial" w:cs="Arial"/>
          <w:sz w:val="22"/>
          <w:szCs w:val="22"/>
          <w:lang w:val="en-GB"/>
        </w:rPr>
        <w:t xml:space="preserve">approval requirements and </w:t>
      </w:r>
      <w:r w:rsidR="00FC7937" w:rsidRPr="004A7469">
        <w:rPr>
          <w:rFonts w:ascii="Arial" w:hAnsi="Arial" w:cs="Arial"/>
          <w:sz w:val="22"/>
          <w:szCs w:val="22"/>
        </w:rPr>
        <w:t xml:space="preserve">key points the Audit Committee must consider </w:t>
      </w:r>
      <w:r w:rsidR="00FC7937" w:rsidRPr="004A7469">
        <w:rPr>
          <w:rFonts w:ascii="Arial" w:hAnsi="Arial" w:cs="Arial"/>
          <w:sz w:val="22"/>
          <w:szCs w:val="22"/>
          <w:lang w:val="en-GB"/>
        </w:rPr>
        <w:t xml:space="preserve">in relation to </w:t>
      </w:r>
      <w:r w:rsidR="008423F2" w:rsidRPr="004A7469">
        <w:rPr>
          <w:rFonts w:ascii="Arial" w:hAnsi="Arial" w:cs="Arial"/>
          <w:sz w:val="22"/>
          <w:szCs w:val="22"/>
          <w:lang w:val="en-GB"/>
        </w:rPr>
        <w:t xml:space="preserve">the </w:t>
      </w:r>
      <w:r w:rsidR="00FC7937" w:rsidRPr="004A7469">
        <w:rPr>
          <w:rFonts w:ascii="Arial" w:hAnsi="Arial" w:cs="Arial"/>
          <w:sz w:val="22"/>
          <w:szCs w:val="22"/>
          <w:lang w:val="en-GB"/>
        </w:rPr>
        <w:t xml:space="preserve">services provided by the External Auditor. </w:t>
      </w:r>
      <w:r w:rsidR="00846F95" w:rsidRPr="004A7469">
        <w:rPr>
          <w:rFonts w:ascii="Arial" w:hAnsi="Arial" w:cs="Arial"/>
          <w:sz w:val="22"/>
          <w:szCs w:val="22"/>
          <w:lang w:val="en-GB"/>
        </w:rPr>
        <w:t xml:space="preserve">The FRC’s whitelist of </w:t>
      </w:r>
      <w:r w:rsidR="00FC7937" w:rsidRPr="004A7469">
        <w:rPr>
          <w:rFonts w:ascii="Arial" w:hAnsi="Arial" w:cs="Arial"/>
          <w:sz w:val="22"/>
          <w:szCs w:val="22"/>
          <w:lang w:val="en-GB"/>
        </w:rPr>
        <w:t>p</w:t>
      </w:r>
      <w:r w:rsidR="001D0852" w:rsidRPr="004A7469">
        <w:rPr>
          <w:rFonts w:ascii="Arial" w:hAnsi="Arial" w:cs="Arial"/>
          <w:sz w:val="22"/>
          <w:szCs w:val="22"/>
          <w:lang w:val="en-GB"/>
        </w:rPr>
        <w:t xml:space="preserve">ermitted </w:t>
      </w:r>
      <w:r w:rsidR="00E102A4" w:rsidRPr="004A7469">
        <w:rPr>
          <w:rFonts w:ascii="Arial" w:hAnsi="Arial" w:cs="Arial"/>
          <w:sz w:val="22"/>
          <w:szCs w:val="22"/>
          <w:lang w:val="en-GB"/>
        </w:rPr>
        <w:t>a</w:t>
      </w:r>
      <w:r w:rsidR="00846F95" w:rsidRPr="004A7469">
        <w:rPr>
          <w:rFonts w:ascii="Arial" w:hAnsi="Arial" w:cs="Arial"/>
          <w:sz w:val="22"/>
          <w:szCs w:val="22"/>
          <w:lang w:val="en-GB"/>
        </w:rPr>
        <w:t>udit-</w:t>
      </w:r>
      <w:r w:rsidR="00E102A4" w:rsidRPr="004A7469">
        <w:rPr>
          <w:rFonts w:ascii="Arial" w:hAnsi="Arial" w:cs="Arial"/>
          <w:sz w:val="22"/>
          <w:szCs w:val="22"/>
          <w:lang w:val="en-GB"/>
        </w:rPr>
        <w:t>r</w:t>
      </w:r>
      <w:r w:rsidR="00846F95" w:rsidRPr="004A7469">
        <w:rPr>
          <w:rFonts w:ascii="Arial" w:hAnsi="Arial" w:cs="Arial"/>
          <w:sz w:val="22"/>
          <w:szCs w:val="22"/>
          <w:lang w:val="en-GB"/>
        </w:rPr>
        <w:t xml:space="preserve">elated and </w:t>
      </w:r>
      <w:r w:rsidR="00E102A4" w:rsidRPr="004A7469">
        <w:rPr>
          <w:rFonts w:ascii="Arial" w:hAnsi="Arial" w:cs="Arial"/>
          <w:sz w:val="22"/>
          <w:szCs w:val="22"/>
          <w:lang w:val="en-GB"/>
        </w:rPr>
        <w:t>n</w:t>
      </w:r>
      <w:r w:rsidR="00846F95" w:rsidRPr="004A7469">
        <w:rPr>
          <w:rFonts w:ascii="Arial" w:hAnsi="Arial" w:cs="Arial"/>
          <w:sz w:val="22"/>
          <w:szCs w:val="22"/>
          <w:lang w:val="en-GB"/>
        </w:rPr>
        <w:t>on-</w:t>
      </w:r>
      <w:r w:rsidR="00E102A4" w:rsidRPr="004A7469">
        <w:rPr>
          <w:rFonts w:ascii="Arial" w:hAnsi="Arial" w:cs="Arial"/>
          <w:sz w:val="22"/>
          <w:szCs w:val="22"/>
          <w:lang w:val="en-GB"/>
        </w:rPr>
        <w:t>a</w:t>
      </w:r>
      <w:r w:rsidR="000049BE" w:rsidRPr="004A7469">
        <w:rPr>
          <w:rFonts w:ascii="Arial" w:hAnsi="Arial" w:cs="Arial"/>
          <w:sz w:val="22"/>
          <w:szCs w:val="22"/>
          <w:lang w:val="en-GB"/>
        </w:rPr>
        <w:t>udit</w:t>
      </w:r>
      <w:r w:rsidR="00846F95" w:rsidRPr="004A7469">
        <w:rPr>
          <w:rFonts w:ascii="Arial" w:hAnsi="Arial" w:cs="Arial"/>
          <w:sz w:val="22"/>
          <w:szCs w:val="22"/>
          <w:lang w:val="en-GB"/>
        </w:rPr>
        <w:t xml:space="preserve"> </w:t>
      </w:r>
      <w:r w:rsidR="00E102A4" w:rsidRPr="004A7469">
        <w:rPr>
          <w:rFonts w:ascii="Arial" w:hAnsi="Arial" w:cs="Arial"/>
          <w:sz w:val="22"/>
          <w:szCs w:val="22"/>
          <w:lang w:val="en-GB"/>
        </w:rPr>
        <w:t xml:space="preserve">related </w:t>
      </w:r>
      <w:r w:rsidR="00846F95" w:rsidRPr="004A7469">
        <w:rPr>
          <w:rFonts w:ascii="Arial" w:hAnsi="Arial" w:cs="Arial"/>
          <w:sz w:val="22"/>
          <w:szCs w:val="22"/>
          <w:lang w:val="en-GB"/>
        </w:rPr>
        <w:t xml:space="preserve">services set out in </w:t>
      </w:r>
      <w:r w:rsidR="00846F95" w:rsidRPr="004A7469">
        <w:rPr>
          <w:rFonts w:ascii="Arial" w:hAnsi="Arial" w:cs="Arial"/>
          <w:b/>
          <w:sz w:val="22"/>
          <w:szCs w:val="22"/>
          <w:lang w:val="en-GB"/>
        </w:rPr>
        <w:t>Appendix 1</w:t>
      </w:r>
      <w:r w:rsidR="00846F95" w:rsidRPr="004A7469">
        <w:rPr>
          <w:rFonts w:ascii="Arial" w:hAnsi="Arial" w:cs="Arial"/>
          <w:sz w:val="22"/>
          <w:szCs w:val="22"/>
          <w:lang w:val="en-GB"/>
        </w:rPr>
        <w:t xml:space="preserve"> describes the nature of all services that can be provided by the </w:t>
      </w:r>
      <w:r w:rsidR="00FC7937" w:rsidRPr="004A7469">
        <w:rPr>
          <w:rFonts w:ascii="Arial" w:hAnsi="Arial" w:cs="Arial"/>
          <w:sz w:val="22"/>
          <w:szCs w:val="22"/>
          <w:lang w:val="en-GB"/>
        </w:rPr>
        <w:t>E</w:t>
      </w:r>
      <w:r w:rsidR="00846F95" w:rsidRPr="004A7469">
        <w:rPr>
          <w:rFonts w:ascii="Arial" w:hAnsi="Arial" w:cs="Arial"/>
          <w:sz w:val="22"/>
          <w:szCs w:val="22"/>
          <w:lang w:val="en-GB"/>
        </w:rPr>
        <w:t xml:space="preserve">xternal </w:t>
      </w:r>
      <w:r w:rsidR="00FC7937" w:rsidRPr="004A7469">
        <w:rPr>
          <w:rFonts w:ascii="Arial" w:hAnsi="Arial" w:cs="Arial"/>
          <w:sz w:val="22"/>
          <w:szCs w:val="22"/>
          <w:lang w:val="en-GB"/>
        </w:rPr>
        <w:t>A</w:t>
      </w:r>
      <w:r w:rsidR="00846F95" w:rsidRPr="004A7469">
        <w:rPr>
          <w:rFonts w:ascii="Arial" w:hAnsi="Arial" w:cs="Arial"/>
          <w:sz w:val="22"/>
          <w:szCs w:val="22"/>
          <w:lang w:val="en-GB"/>
        </w:rPr>
        <w:t xml:space="preserve">uditor if approved by the Audit Committee. </w:t>
      </w:r>
    </w:p>
    <w:p w14:paraId="2CB7B517" w14:textId="77777777" w:rsidR="00D93706" w:rsidRPr="004A7469" w:rsidRDefault="00846F95" w:rsidP="00283B16">
      <w:pPr>
        <w:spacing w:after="0"/>
        <w:jc w:val="both"/>
        <w:rPr>
          <w:rFonts w:ascii="Arial" w:hAnsi="Arial" w:cs="Arial"/>
          <w:sz w:val="22"/>
          <w:szCs w:val="22"/>
          <w:lang w:val="en-GB"/>
        </w:rPr>
      </w:pPr>
      <w:r w:rsidRPr="004A7469">
        <w:rPr>
          <w:rFonts w:ascii="Arial" w:hAnsi="Arial" w:cs="Arial"/>
          <w:sz w:val="22"/>
          <w:szCs w:val="22"/>
          <w:lang w:val="en-GB"/>
        </w:rPr>
        <w:t xml:space="preserve">Any </w:t>
      </w:r>
      <w:r w:rsidR="00E102A4" w:rsidRPr="004A7469">
        <w:rPr>
          <w:rFonts w:ascii="Arial" w:hAnsi="Arial" w:cs="Arial"/>
          <w:sz w:val="22"/>
          <w:szCs w:val="22"/>
          <w:lang w:val="en-GB"/>
        </w:rPr>
        <w:t>a</w:t>
      </w:r>
      <w:r w:rsidRPr="004A7469">
        <w:rPr>
          <w:rFonts w:ascii="Arial" w:hAnsi="Arial" w:cs="Arial"/>
          <w:sz w:val="22"/>
          <w:szCs w:val="22"/>
          <w:lang w:val="en-GB"/>
        </w:rPr>
        <w:t>udit-</w:t>
      </w:r>
      <w:r w:rsidR="00E102A4" w:rsidRPr="004A7469">
        <w:rPr>
          <w:rFonts w:ascii="Arial" w:hAnsi="Arial" w:cs="Arial"/>
          <w:sz w:val="22"/>
          <w:szCs w:val="22"/>
          <w:lang w:val="en-GB"/>
        </w:rPr>
        <w:t>r</w:t>
      </w:r>
      <w:r w:rsidRPr="004A7469">
        <w:rPr>
          <w:rFonts w:ascii="Arial" w:hAnsi="Arial" w:cs="Arial"/>
          <w:sz w:val="22"/>
          <w:szCs w:val="22"/>
          <w:lang w:val="en-GB"/>
        </w:rPr>
        <w:t xml:space="preserve">elated </w:t>
      </w:r>
      <w:r w:rsidR="00E102A4" w:rsidRPr="004A7469">
        <w:rPr>
          <w:rFonts w:ascii="Arial" w:hAnsi="Arial" w:cs="Arial"/>
          <w:sz w:val="22"/>
          <w:szCs w:val="22"/>
          <w:lang w:val="en-GB"/>
        </w:rPr>
        <w:t>s</w:t>
      </w:r>
      <w:r w:rsidRPr="004A7469">
        <w:rPr>
          <w:rFonts w:ascii="Arial" w:hAnsi="Arial" w:cs="Arial"/>
          <w:sz w:val="22"/>
          <w:szCs w:val="22"/>
          <w:lang w:val="en-GB"/>
        </w:rPr>
        <w:t xml:space="preserve">ervice or </w:t>
      </w:r>
      <w:r w:rsidR="00E102A4" w:rsidRPr="004A7469">
        <w:rPr>
          <w:rFonts w:ascii="Arial" w:hAnsi="Arial" w:cs="Arial"/>
          <w:sz w:val="22"/>
          <w:szCs w:val="22"/>
          <w:lang w:val="en-GB"/>
        </w:rPr>
        <w:t>n</w:t>
      </w:r>
      <w:r w:rsidRPr="004A7469">
        <w:rPr>
          <w:rFonts w:ascii="Arial" w:hAnsi="Arial" w:cs="Arial"/>
          <w:sz w:val="22"/>
          <w:szCs w:val="22"/>
          <w:lang w:val="en-GB"/>
        </w:rPr>
        <w:t>on-</w:t>
      </w:r>
      <w:r w:rsidR="00E102A4" w:rsidRPr="004A7469">
        <w:rPr>
          <w:rFonts w:ascii="Arial" w:hAnsi="Arial" w:cs="Arial"/>
          <w:sz w:val="22"/>
          <w:szCs w:val="22"/>
          <w:lang w:val="en-GB"/>
        </w:rPr>
        <w:t>a</w:t>
      </w:r>
      <w:r w:rsidRPr="004A7469">
        <w:rPr>
          <w:rFonts w:ascii="Arial" w:hAnsi="Arial" w:cs="Arial"/>
          <w:sz w:val="22"/>
          <w:szCs w:val="22"/>
          <w:lang w:val="en-GB"/>
        </w:rPr>
        <w:t xml:space="preserve">udit </w:t>
      </w:r>
      <w:r w:rsidR="00E102A4" w:rsidRPr="004A7469">
        <w:rPr>
          <w:rFonts w:ascii="Arial" w:hAnsi="Arial" w:cs="Arial"/>
          <w:sz w:val="22"/>
          <w:szCs w:val="22"/>
          <w:lang w:val="en-GB"/>
        </w:rPr>
        <w:t>related s</w:t>
      </w:r>
      <w:r w:rsidRPr="004A7469">
        <w:rPr>
          <w:rFonts w:ascii="Arial" w:hAnsi="Arial" w:cs="Arial"/>
          <w:sz w:val="22"/>
          <w:szCs w:val="22"/>
          <w:lang w:val="en-GB"/>
        </w:rPr>
        <w:t xml:space="preserve">ervice which is </w:t>
      </w:r>
      <w:r w:rsidRPr="004A7469">
        <w:rPr>
          <w:rFonts w:ascii="Arial" w:hAnsi="Arial" w:cs="Arial"/>
          <w:b/>
          <w:bCs/>
          <w:sz w:val="22"/>
          <w:szCs w:val="22"/>
          <w:lang w:val="en-GB"/>
        </w:rPr>
        <w:t>not</w:t>
      </w:r>
      <w:r w:rsidRPr="004A7469">
        <w:rPr>
          <w:rFonts w:ascii="Arial" w:hAnsi="Arial" w:cs="Arial"/>
          <w:sz w:val="22"/>
          <w:szCs w:val="22"/>
          <w:lang w:val="en-GB"/>
        </w:rPr>
        <w:t xml:space="preserve"> on the </w:t>
      </w:r>
      <w:r w:rsidR="00FC7937" w:rsidRPr="004A7469">
        <w:rPr>
          <w:rFonts w:ascii="Arial" w:hAnsi="Arial" w:cs="Arial"/>
          <w:sz w:val="22"/>
          <w:szCs w:val="22"/>
          <w:lang w:val="en-GB"/>
        </w:rPr>
        <w:t>white</w:t>
      </w:r>
      <w:r w:rsidRPr="004A7469">
        <w:rPr>
          <w:rFonts w:ascii="Arial" w:hAnsi="Arial" w:cs="Arial"/>
          <w:sz w:val="22"/>
          <w:szCs w:val="22"/>
          <w:lang w:val="en-GB"/>
        </w:rPr>
        <w:t xml:space="preserve">list cannot be provided by the </w:t>
      </w:r>
      <w:r w:rsidR="00FC7937" w:rsidRPr="004A7469">
        <w:rPr>
          <w:rFonts w:ascii="Arial" w:hAnsi="Arial" w:cs="Arial"/>
          <w:sz w:val="22"/>
          <w:szCs w:val="22"/>
          <w:lang w:val="en-GB"/>
        </w:rPr>
        <w:t>E</w:t>
      </w:r>
      <w:r w:rsidRPr="004A7469">
        <w:rPr>
          <w:rFonts w:ascii="Arial" w:hAnsi="Arial" w:cs="Arial"/>
          <w:sz w:val="22"/>
          <w:szCs w:val="22"/>
          <w:lang w:val="en-GB"/>
        </w:rPr>
        <w:t xml:space="preserve">xternal </w:t>
      </w:r>
      <w:r w:rsidR="00FC7937" w:rsidRPr="004A7469">
        <w:rPr>
          <w:rFonts w:ascii="Arial" w:hAnsi="Arial" w:cs="Arial"/>
          <w:sz w:val="22"/>
          <w:szCs w:val="22"/>
          <w:lang w:val="en-GB"/>
        </w:rPr>
        <w:t>A</w:t>
      </w:r>
      <w:r w:rsidRPr="004A7469">
        <w:rPr>
          <w:rFonts w:ascii="Arial" w:hAnsi="Arial" w:cs="Arial"/>
          <w:sz w:val="22"/>
          <w:szCs w:val="22"/>
          <w:lang w:val="en-GB"/>
        </w:rPr>
        <w:t xml:space="preserve">uditor. </w:t>
      </w:r>
      <w:r w:rsidR="00337680" w:rsidRPr="004A7469">
        <w:rPr>
          <w:rFonts w:ascii="Arial" w:hAnsi="Arial" w:cs="Arial"/>
          <w:sz w:val="22"/>
          <w:szCs w:val="22"/>
          <w:lang w:val="en-GB"/>
        </w:rPr>
        <w:t>Examples of these services are listed in FRC’s Revised Ethical Standard</w:t>
      </w:r>
      <w:r w:rsidR="004F1231" w:rsidRPr="004A7469">
        <w:rPr>
          <w:rFonts w:ascii="Arial" w:hAnsi="Arial" w:cs="Arial"/>
          <w:sz w:val="22"/>
          <w:szCs w:val="22"/>
          <w:lang w:val="en-GB"/>
        </w:rPr>
        <w:t xml:space="preserve"> 2024</w:t>
      </w:r>
      <w:r w:rsidR="00337680" w:rsidRPr="004A7469">
        <w:rPr>
          <w:rFonts w:ascii="Arial" w:hAnsi="Arial" w:cs="Arial"/>
          <w:sz w:val="22"/>
          <w:szCs w:val="22"/>
          <w:lang w:val="en-GB"/>
        </w:rPr>
        <w:t>.</w:t>
      </w:r>
    </w:p>
    <w:p w14:paraId="1EAB0781" w14:textId="77777777" w:rsidR="00283B16" w:rsidRPr="004A7469" w:rsidRDefault="00283B16" w:rsidP="00283B16">
      <w:pPr>
        <w:spacing w:after="0"/>
        <w:jc w:val="both"/>
        <w:rPr>
          <w:rFonts w:ascii="Arial" w:hAnsi="Arial" w:cs="Arial"/>
          <w:sz w:val="22"/>
          <w:szCs w:val="22"/>
          <w:lang w:val="en-GB"/>
        </w:rPr>
      </w:pP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347"/>
      </w:tblGrid>
      <w:tr w:rsidR="00FE6AB3" w:rsidRPr="004A7469" w14:paraId="4F61BE2A" w14:textId="77777777" w:rsidTr="0007362B">
        <w:trPr>
          <w:trHeight w:val="387"/>
        </w:trPr>
        <w:tc>
          <w:tcPr>
            <w:tcW w:w="3085" w:type="dxa"/>
            <w:shd w:val="clear" w:color="auto" w:fill="153D63"/>
          </w:tcPr>
          <w:p w14:paraId="224B92AB" w14:textId="77777777" w:rsidR="00FE6AB3" w:rsidRPr="004A7469" w:rsidRDefault="00FE6AB3" w:rsidP="00283B16">
            <w:pPr>
              <w:spacing w:after="0"/>
              <w:jc w:val="both"/>
              <w:rPr>
                <w:rFonts w:ascii="Arial" w:hAnsi="Arial" w:cs="Arial"/>
                <w:b/>
                <w:bCs/>
                <w:color w:val="FFFFFF"/>
                <w:szCs w:val="20"/>
                <w:lang w:val="en-GB"/>
              </w:rPr>
            </w:pPr>
            <w:r w:rsidRPr="004A7469">
              <w:rPr>
                <w:rFonts w:ascii="Arial" w:hAnsi="Arial" w:cs="Arial"/>
                <w:b/>
                <w:bCs/>
                <w:color w:val="FFFFFF"/>
                <w:szCs w:val="20"/>
                <w:lang w:val="en-GB"/>
              </w:rPr>
              <w:t>Category of service</w:t>
            </w:r>
          </w:p>
        </w:tc>
        <w:tc>
          <w:tcPr>
            <w:tcW w:w="7347" w:type="dxa"/>
            <w:shd w:val="clear" w:color="auto" w:fill="153D63"/>
          </w:tcPr>
          <w:p w14:paraId="48466371" w14:textId="77777777" w:rsidR="00FE6AB3" w:rsidRPr="004A7469" w:rsidRDefault="00FE6AB3" w:rsidP="00283B16">
            <w:pPr>
              <w:spacing w:after="0"/>
              <w:jc w:val="both"/>
              <w:rPr>
                <w:rFonts w:ascii="Arial" w:hAnsi="Arial" w:cs="Arial"/>
                <w:b/>
                <w:bCs/>
                <w:color w:val="FFFFFF"/>
                <w:szCs w:val="20"/>
                <w:lang w:val="en-GB"/>
              </w:rPr>
            </w:pPr>
            <w:r w:rsidRPr="004A7469">
              <w:rPr>
                <w:rFonts w:ascii="Arial" w:hAnsi="Arial" w:cs="Arial"/>
                <w:b/>
                <w:bCs/>
                <w:color w:val="FFFFFF"/>
                <w:szCs w:val="20"/>
                <w:lang w:val="en-GB"/>
              </w:rPr>
              <w:t>Approval requirements</w:t>
            </w:r>
          </w:p>
        </w:tc>
      </w:tr>
      <w:tr w:rsidR="00FE6AB3" w:rsidRPr="004A7469" w14:paraId="79691A17" w14:textId="77777777" w:rsidTr="008652C9">
        <w:trPr>
          <w:trHeight w:val="1072"/>
        </w:trPr>
        <w:tc>
          <w:tcPr>
            <w:tcW w:w="3085" w:type="dxa"/>
          </w:tcPr>
          <w:p w14:paraId="73C94279" w14:textId="77777777" w:rsidR="00FE6AB3" w:rsidRPr="004A7469" w:rsidRDefault="00FE6AB3" w:rsidP="00283B16">
            <w:pPr>
              <w:spacing w:after="0"/>
              <w:rPr>
                <w:rFonts w:ascii="Arial" w:hAnsi="Arial" w:cs="Arial"/>
                <w:color w:val="1C437E"/>
                <w:szCs w:val="20"/>
                <w:lang w:val="en-GB"/>
              </w:rPr>
            </w:pPr>
            <w:r w:rsidRPr="004A7469">
              <w:rPr>
                <w:rFonts w:ascii="Arial" w:hAnsi="Arial" w:cs="Arial"/>
                <w:b/>
                <w:bCs/>
                <w:szCs w:val="20"/>
                <w:lang w:val="en-GB"/>
              </w:rPr>
              <w:t>Audit-related services</w:t>
            </w:r>
            <w:r w:rsidR="008652C9" w:rsidRPr="004A7469">
              <w:rPr>
                <w:rStyle w:val="FootnoteReference"/>
                <w:rFonts w:ascii="Arial" w:hAnsi="Arial" w:cs="Arial"/>
                <w:b/>
                <w:bCs/>
                <w:szCs w:val="20"/>
                <w:lang w:val="en-GB"/>
              </w:rPr>
              <w:footnoteReference w:id="1"/>
            </w:r>
          </w:p>
        </w:tc>
        <w:tc>
          <w:tcPr>
            <w:tcW w:w="7347" w:type="dxa"/>
          </w:tcPr>
          <w:p w14:paraId="0B080768" w14:textId="77777777" w:rsidR="008652C9" w:rsidRPr="004A7469" w:rsidRDefault="00FE6AB3" w:rsidP="008652C9">
            <w:pPr>
              <w:spacing w:after="120"/>
              <w:rPr>
                <w:rFonts w:ascii="Arial" w:hAnsi="Arial" w:cs="Arial"/>
                <w:szCs w:val="20"/>
                <w:lang w:val="en-GB"/>
              </w:rPr>
            </w:pPr>
            <w:r w:rsidRPr="004A7469">
              <w:rPr>
                <w:rFonts w:ascii="Arial" w:hAnsi="Arial" w:cs="Arial"/>
                <w:szCs w:val="20"/>
                <w:lang w:val="en-GB"/>
              </w:rPr>
              <w:t>Such engagements do not routinely require Audit Committee approval as the type of work is usually pre-approved by the Audit Committee as part of their approval for the total annual audit fee.</w:t>
            </w:r>
            <w:r w:rsidR="001B3FC1" w:rsidRPr="004A7469">
              <w:rPr>
                <w:rFonts w:ascii="Arial" w:hAnsi="Arial" w:cs="Arial"/>
                <w:szCs w:val="20"/>
                <w:lang w:val="en-GB"/>
              </w:rPr>
              <w:t xml:space="preserve"> These services are still subject to the 70% cap.</w:t>
            </w:r>
          </w:p>
          <w:p w14:paraId="4E10E68A" w14:textId="77777777" w:rsidR="00FE6AB3" w:rsidRPr="004A7469" w:rsidRDefault="00FE6AB3" w:rsidP="00283B16">
            <w:pPr>
              <w:spacing w:after="0"/>
              <w:rPr>
                <w:rFonts w:ascii="Arial" w:hAnsi="Arial" w:cs="Arial"/>
                <w:szCs w:val="20"/>
                <w:lang w:val="en-GB"/>
              </w:rPr>
            </w:pPr>
            <w:r w:rsidRPr="004A7469">
              <w:rPr>
                <w:rFonts w:ascii="Arial" w:hAnsi="Arial" w:cs="Arial"/>
                <w:szCs w:val="20"/>
                <w:lang w:val="en-GB"/>
              </w:rPr>
              <w:t>Befor</w:t>
            </w:r>
            <w:r w:rsidR="007A0716" w:rsidRPr="004A7469">
              <w:rPr>
                <w:rFonts w:ascii="Arial" w:hAnsi="Arial" w:cs="Arial"/>
                <w:szCs w:val="20"/>
                <w:lang w:val="en-GB"/>
              </w:rPr>
              <w:t>e</w:t>
            </w:r>
            <w:r w:rsidRPr="004A7469">
              <w:rPr>
                <w:rFonts w:ascii="Arial" w:hAnsi="Arial" w:cs="Arial"/>
                <w:szCs w:val="20"/>
                <w:lang w:val="en-GB"/>
              </w:rPr>
              <w:t xml:space="preserve"> engaging in any work of this type, approval is required from the</w:t>
            </w:r>
            <w:r w:rsidR="008652C9" w:rsidRPr="004A7469">
              <w:rPr>
                <w:rFonts w:ascii="Arial" w:hAnsi="Arial" w:cs="Arial"/>
                <w:szCs w:val="20"/>
                <w:lang w:val="en-GB"/>
              </w:rPr>
              <w:t xml:space="preserve"> </w:t>
            </w:r>
            <w:r w:rsidRPr="004A7469">
              <w:rPr>
                <w:rFonts w:ascii="Arial" w:hAnsi="Arial" w:cs="Arial"/>
                <w:szCs w:val="20"/>
                <w:lang w:val="en-GB"/>
              </w:rPr>
              <w:t>Chief Financial Officer.</w:t>
            </w:r>
          </w:p>
        </w:tc>
      </w:tr>
      <w:tr w:rsidR="00FE6AB3" w:rsidRPr="004A7469" w14:paraId="294AD895" w14:textId="77777777" w:rsidTr="008652C9">
        <w:trPr>
          <w:trHeight w:val="1562"/>
        </w:trPr>
        <w:tc>
          <w:tcPr>
            <w:tcW w:w="3085" w:type="dxa"/>
          </w:tcPr>
          <w:p w14:paraId="501ADC04" w14:textId="77777777" w:rsidR="00FE6AB3" w:rsidRPr="004A7469" w:rsidRDefault="00FE6AB3" w:rsidP="00283B16">
            <w:pPr>
              <w:spacing w:after="0"/>
              <w:rPr>
                <w:rFonts w:ascii="Arial" w:hAnsi="Arial" w:cs="Arial"/>
                <w:color w:val="1C437E"/>
                <w:szCs w:val="20"/>
                <w:lang w:val="en-GB"/>
              </w:rPr>
            </w:pPr>
            <w:r w:rsidRPr="004A7469">
              <w:rPr>
                <w:rFonts w:ascii="Arial" w:hAnsi="Arial" w:cs="Arial"/>
                <w:b/>
                <w:bCs/>
                <w:szCs w:val="20"/>
                <w:lang w:val="en-GB"/>
              </w:rPr>
              <w:t>Non-audit related services</w:t>
            </w:r>
            <w:r w:rsidR="002D2CB5" w:rsidRPr="004A7469">
              <w:rPr>
                <w:rStyle w:val="FootnoteReference"/>
                <w:rFonts w:ascii="Arial" w:hAnsi="Arial" w:cs="Arial"/>
                <w:b/>
                <w:bCs/>
                <w:szCs w:val="20"/>
                <w:lang w:val="en-GB"/>
              </w:rPr>
              <w:footnoteReference w:id="2"/>
            </w:r>
          </w:p>
        </w:tc>
        <w:tc>
          <w:tcPr>
            <w:tcW w:w="7347" w:type="dxa"/>
          </w:tcPr>
          <w:p w14:paraId="31776271" w14:textId="77777777" w:rsidR="00EF78F6" w:rsidRPr="004A7469" w:rsidRDefault="00FE6AB3" w:rsidP="00283B16">
            <w:pPr>
              <w:spacing w:after="0"/>
              <w:rPr>
                <w:rFonts w:ascii="Arial" w:hAnsi="Arial" w:cs="Arial"/>
                <w:szCs w:val="20"/>
                <w:lang w:val="en-GB"/>
              </w:rPr>
            </w:pPr>
            <w:r w:rsidRPr="004A7469">
              <w:rPr>
                <w:rFonts w:ascii="Arial" w:hAnsi="Arial" w:cs="Arial"/>
                <w:szCs w:val="20"/>
                <w:lang w:val="en-GB"/>
              </w:rPr>
              <w:t xml:space="preserve">The Audit Committee has pre-approved the use of the External Auditor for </w:t>
            </w:r>
            <w:r w:rsidR="00E102A4" w:rsidRPr="004A7469">
              <w:rPr>
                <w:rFonts w:ascii="Arial" w:hAnsi="Arial" w:cs="Arial"/>
                <w:szCs w:val="20"/>
                <w:lang w:val="en-GB"/>
              </w:rPr>
              <w:t xml:space="preserve">a </w:t>
            </w:r>
            <w:r w:rsidRPr="004A7469">
              <w:rPr>
                <w:rFonts w:ascii="Arial" w:hAnsi="Arial" w:cs="Arial"/>
                <w:szCs w:val="20"/>
                <w:lang w:val="en-GB"/>
              </w:rPr>
              <w:t xml:space="preserve">whitelist </w:t>
            </w:r>
            <w:r w:rsidR="00E102A4" w:rsidRPr="004A7469">
              <w:rPr>
                <w:rFonts w:ascii="Arial" w:hAnsi="Arial" w:cs="Arial"/>
                <w:szCs w:val="20"/>
                <w:lang w:val="en-GB"/>
              </w:rPr>
              <w:t xml:space="preserve">of </w:t>
            </w:r>
            <w:r w:rsidRPr="004A7469">
              <w:rPr>
                <w:rFonts w:ascii="Arial" w:hAnsi="Arial" w:cs="Arial"/>
                <w:szCs w:val="20"/>
                <w:lang w:val="en-GB"/>
              </w:rPr>
              <w:t xml:space="preserve">non-audit services subject to the following limits: The Chief Financial Officer up to £50,000 and Audit Committee Chair up to £100,000. For these services, the External Auditor </w:t>
            </w:r>
            <w:r w:rsidR="0062542D" w:rsidRPr="004A7469">
              <w:rPr>
                <w:rFonts w:ascii="Arial" w:hAnsi="Arial" w:cs="Arial"/>
                <w:szCs w:val="20"/>
                <w:lang w:val="en-GB"/>
              </w:rPr>
              <w:t xml:space="preserve">and the Audit Committee </w:t>
            </w:r>
            <w:r w:rsidRPr="004A7469">
              <w:rPr>
                <w:rFonts w:ascii="Arial" w:hAnsi="Arial" w:cs="Arial"/>
                <w:szCs w:val="20"/>
                <w:lang w:val="en-GB"/>
              </w:rPr>
              <w:t>must still consider the</w:t>
            </w:r>
            <w:r w:rsidR="00121613" w:rsidRPr="004A7469">
              <w:rPr>
                <w:rFonts w:ascii="Arial" w:hAnsi="Arial" w:cs="Arial"/>
                <w:szCs w:val="20"/>
                <w:lang w:val="en-GB"/>
              </w:rPr>
              <w:t xml:space="preserve"> potential</w:t>
            </w:r>
            <w:r w:rsidRPr="004A7469">
              <w:rPr>
                <w:rFonts w:ascii="Arial" w:hAnsi="Arial" w:cs="Arial"/>
                <w:szCs w:val="20"/>
                <w:lang w:val="en-GB"/>
              </w:rPr>
              <w:t xml:space="preserve"> threats to independence</w:t>
            </w:r>
            <w:r w:rsidR="004720B7" w:rsidRPr="004A7469">
              <w:rPr>
                <w:rFonts w:ascii="Arial" w:hAnsi="Arial" w:cs="Arial"/>
                <w:szCs w:val="20"/>
                <w:lang w:val="en-GB"/>
              </w:rPr>
              <w:t xml:space="preserve"> </w:t>
            </w:r>
            <w:r w:rsidR="004720B7" w:rsidRPr="004A7469">
              <w:rPr>
                <w:rFonts w:ascii="Arial" w:hAnsi="Arial" w:cs="Arial"/>
                <w:szCs w:val="20"/>
              </w:rPr>
              <w:t>and whether safeguards need to be applied</w:t>
            </w:r>
            <w:r w:rsidRPr="004A7469">
              <w:rPr>
                <w:rFonts w:ascii="Arial" w:hAnsi="Arial" w:cs="Arial"/>
                <w:szCs w:val="20"/>
                <w:lang w:val="en-GB"/>
              </w:rPr>
              <w:t xml:space="preserve">.  </w:t>
            </w:r>
          </w:p>
          <w:p w14:paraId="4C084C7C" w14:textId="77777777" w:rsidR="00FE6AB3" w:rsidRPr="004A7469" w:rsidRDefault="00121613" w:rsidP="00283B16">
            <w:pPr>
              <w:spacing w:after="0"/>
              <w:rPr>
                <w:rFonts w:ascii="Arial" w:hAnsi="Arial" w:cs="Arial"/>
                <w:szCs w:val="20"/>
                <w:lang w:val="en-GB"/>
              </w:rPr>
            </w:pPr>
            <w:r w:rsidRPr="004A7469">
              <w:rPr>
                <w:rFonts w:ascii="Arial" w:hAnsi="Arial" w:cs="Arial"/>
                <w:szCs w:val="20"/>
                <w:lang w:val="en-GB"/>
              </w:rPr>
              <w:t>A</w:t>
            </w:r>
            <w:r w:rsidR="00FE6AB3" w:rsidRPr="004A7469">
              <w:rPr>
                <w:rFonts w:ascii="Arial" w:hAnsi="Arial" w:cs="Arial"/>
                <w:szCs w:val="20"/>
                <w:lang w:val="en-GB"/>
              </w:rPr>
              <w:t>pproval must be obtained from the Audit Committee</w:t>
            </w:r>
            <w:r w:rsidRPr="004A7469">
              <w:rPr>
                <w:rFonts w:ascii="Arial" w:hAnsi="Arial" w:cs="Arial"/>
                <w:szCs w:val="20"/>
                <w:lang w:val="en-GB"/>
              </w:rPr>
              <w:t xml:space="preserve"> </w:t>
            </w:r>
            <w:r w:rsidR="00EF78F6" w:rsidRPr="004A7469">
              <w:rPr>
                <w:rFonts w:ascii="Arial" w:hAnsi="Arial" w:cs="Arial"/>
                <w:szCs w:val="20"/>
                <w:lang w:val="en-GB"/>
              </w:rPr>
              <w:t xml:space="preserve">prior to engaging </w:t>
            </w:r>
            <w:r w:rsidRPr="004A7469">
              <w:rPr>
                <w:rFonts w:ascii="Arial" w:hAnsi="Arial" w:cs="Arial"/>
                <w:szCs w:val="20"/>
                <w:lang w:val="en-GB"/>
              </w:rPr>
              <w:t>non-audit related services that exceed these limits</w:t>
            </w:r>
            <w:r w:rsidR="00E102A4" w:rsidRPr="004A7469">
              <w:rPr>
                <w:rFonts w:ascii="Arial" w:hAnsi="Arial" w:cs="Arial"/>
                <w:szCs w:val="20"/>
                <w:lang w:val="en-GB"/>
              </w:rPr>
              <w:t>.</w:t>
            </w:r>
          </w:p>
          <w:p w14:paraId="756B1D2A" w14:textId="77777777" w:rsidR="00FE6AB3" w:rsidRPr="004A7469" w:rsidRDefault="00FE6AB3" w:rsidP="00283B16">
            <w:pPr>
              <w:spacing w:after="0"/>
              <w:rPr>
                <w:rFonts w:ascii="Arial" w:hAnsi="Arial" w:cs="Arial"/>
                <w:szCs w:val="20"/>
                <w:lang w:val="en-GB"/>
              </w:rPr>
            </w:pPr>
          </w:p>
        </w:tc>
      </w:tr>
    </w:tbl>
    <w:p w14:paraId="37639D94" w14:textId="77777777" w:rsidR="00283B16" w:rsidRPr="004A7469" w:rsidRDefault="00283B16" w:rsidP="00283B16">
      <w:pPr>
        <w:pStyle w:val="Heading2"/>
        <w:numPr>
          <w:ilvl w:val="0"/>
          <w:numId w:val="0"/>
        </w:numPr>
        <w:spacing w:before="0" w:after="0"/>
        <w:contextualSpacing w:val="0"/>
        <w:rPr>
          <w:rFonts w:ascii="Arial" w:hAnsi="Arial"/>
          <w:b/>
          <w:bCs w:val="0"/>
          <w:sz w:val="22"/>
          <w:szCs w:val="22"/>
        </w:rPr>
      </w:pPr>
    </w:p>
    <w:p w14:paraId="03A0FB41" w14:textId="77777777" w:rsidR="00920199" w:rsidRPr="004A7469" w:rsidRDefault="00920199" w:rsidP="00283B16">
      <w:pPr>
        <w:pStyle w:val="Heading2"/>
        <w:numPr>
          <w:ilvl w:val="0"/>
          <w:numId w:val="0"/>
        </w:numPr>
        <w:spacing w:before="0" w:after="0"/>
        <w:contextualSpacing w:val="0"/>
        <w:rPr>
          <w:rFonts w:ascii="Arial" w:hAnsi="Arial"/>
          <w:b/>
          <w:bCs w:val="0"/>
          <w:sz w:val="22"/>
          <w:szCs w:val="22"/>
        </w:rPr>
      </w:pPr>
      <w:r w:rsidRPr="004A7469">
        <w:rPr>
          <w:rFonts w:ascii="Arial" w:hAnsi="Arial"/>
          <w:b/>
          <w:bCs w:val="0"/>
          <w:sz w:val="22"/>
          <w:szCs w:val="22"/>
        </w:rPr>
        <w:t>3.</w:t>
      </w:r>
      <w:r w:rsidR="004E5127" w:rsidRPr="004A7469">
        <w:rPr>
          <w:rFonts w:ascii="Arial" w:hAnsi="Arial"/>
          <w:b/>
          <w:bCs w:val="0"/>
          <w:sz w:val="22"/>
          <w:szCs w:val="22"/>
        </w:rPr>
        <w:t xml:space="preserve"> </w:t>
      </w:r>
      <w:r w:rsidRPr="004A7469">
        <w:rPr>
          <w:rFonts w:ascii="Arial" w:hAnsi="Arial"/>
          <w:b/>
          <w:bCs w:val="0"/>
          <w:sz w:val="22"/>
          <w:szCs w:val="22"/>
        </w:rPr>
        <w:t>ADDITIONAL REQUIREMENTS</w:t>
      </w:r>
    </w:p>
    <w:p w14:paraId="51D3A0D6" w14:textId="77777777" w:rsidR="00920199" w:rsidRPr="004A7469" w:rsidRDefault="00920199" w:rsidP="00283B16">
      <w:pPr>
        <w:spacing w:after="0"/>
        <w:jc w:val="both"/>
        <w:rPr>
          <w:rFonts w:ascii="Arial" w:hAnsi="Arial" w:cs="Arial"/>
          <w:sz w:val="22"/>
          <w:szCs w:val="22"/>
          <w:lang w:val="en-GB"/>
        </w:rPr>
      </w:pPr>
      <w:r w:rsidRPr="004A7469">
        <w:rPr>
          <w:rFonts w:ascii="Arial" w:hAnsi="Arial" w:cs="Arial"/>
          <w:sz w:val="22"/>
          <w:szCs w:val="22"/>
          <w:lang w:val="en-GB"/>
        </w:rPr>
        <w:t>In addition to the approval requirements set out in section 2, the following additional considerations must</w:t>
      </w:r>
      <w:r w:rsidR="0055526A" w:rsidRPr="004A7469">
        <w:rPr>
          <w:rFonts w:ascii="Arial" w:hAnsi="Arial" w:cs="Arial"/>
          <w:sz w:val="22"/>
          <w:szCs w:val="22"/>
          <w:lang w:val="en-GB"/>
        </w:rPr>
        <w:t xml:space="preserve"> also</w:t>
      </w:r>
      <w:r w:rsidRPr="004A7469">
        <w:rPr>
          <w:rFonts w:ascii="Arial" w:hAnsi="Arial" w:cs="Arial"/>
          <w:sz w:val="22"/>
          <w:szCs w:val="22"/>
          <w:lang w:val="en-GB"/>
        </w:rPr>
        <w:t xml:space="preserve"> be taken into </w:t>
      </w:r>
      <w:r w:rsidR="00930C7E" w:rsidRPr="004A7469">
        <w:rPr>
          <w:rFonts w:ascii="Arial" w:hAnsi="Arial" w:cs="Arial"/>
          <w:sz w:val="22"/>
          <w:szCs w:val="22"/>
          <w:lang w:val="en-GB"/>
        </w:rPr>
        <w:t>account prior</w:t>
      </w:r>
      <w:r w:rsidR="0055526A" w:rsidRPr="004A7469">
        <w:rPr>
          <w:rFonts w:ascii="Arial" w:hAnsi="Arial" w:cs="Arial"/>
          <w:sz w:val="22"/>
          <w:szCs w:val="22"/>
          <w:lang w:val="en-GB"/>
        </w:rPr>
        <w:t xml:space="preserve"> to</w:t>
      </w:r>
      <w:r w:rsidRPr="004A7469">
        <w:rPr>
          <w:rFonts w:ascii="Arial" w:hAnsi="Arial" w:cs="Arial"/>
          <w:sz w:val="22"/>
          <w:szCs w:val="22"/>
          <w:lang w:val="en-GB"/>
        </w:rPr>
        <w:t xml:space="preserve"> the award of</w:t>
      </w:r>
      <w:r w:rsidR="00596CD3" w:rsidRPr="004A7469">
        <w:rPr>
          <w:rFonts w:ascii="Arial" w:hAnsi="Arial" w:cs="Arial"/>
          <w:sz w:val="22"/>
          <w:szCs w:val="22"/>
          <w:lang w:val="en-GB"/>
        </w:rPr>
        <w:t xml:space="preserve"> any non-audit services to the External A</w:t>
      </w:r>
      <w:r w:rsidRPr="004A7469">
        <w:rPr>
          <w:rFonts w:ascii="Arial" w:hAnsi="Arial" w:cs="Arial"/>
          <w:sz w:val="22"/>
          <w:szCs w:val="22"/>
          <w:lang w:val="en-GB"/>
        </w:rPr>
        <w:t>uditor.</w:t>
      </w:r>
    </w:p>
    <w:p w14:paraId="3ECE22BC" w14:textId="77777777" w:rsidR="00283B16" w:rsidRPr="004A7469" w:rsidRDefault="00283B16" w:rsidP="00283B16">
      <w:pPr>
        <w:spacing w:after="0"/>
        <w:jc w:val="both"/>
        <w:rPr>
          <w:rFonts w:ascii="Arial" w:hAnsi="Arial" w:cs="Arial"/>
          <w:sz w:val="22"/>
          <w:szCs w:val="22"/>
          <w:lang w:val="en-GB"/>
        </w:rPr>
      </w:pPr>
    </w:p>
    <w:p w14:paraId="05175CD8" w14:textId="77777777" w:rsidR="00920199" w:rsidRPr="004A7469" w:rsidRDefault="00920199" w:rsidP="00283B16">
      <w:pPr>
        <w:pStyle w:val="ListParagraph"/>
        <w:keepNext/>
        <w:keepLines/>
        <w:numPr>
          <w:ilvl w:val="0"/>
          <w:numId w:val="13"/>
        </w:numPr>
        <w:spacing w:after="0"/>
        <w:outlineLvl w:val="2"/>
        <w:rPr>
          <w:rFonts w:ascii="Arial" w:hAnsi="Arial" w:cs="Arial"/>
          <w:b/>
          <w:bCs/>
          <w:vanish/>
          <w:color w:val="1C437E"/>
          <w:sz w:val="22"/>
          <w:szCs w:val="22"/>
          <w:lang w:val="en-GB"/>
        </w:rPr>
      </w:pPr>
    </w:p>
    <w:p w14:paraId="6C517613" w14:textId="77777777" w:rsidR="00B06033" w:rsidRPr="004A7469" w:rsidRDefault="00B965CB" w:rsidP="00283B16">
      <w:pPr>
        <w:pStyle w:val="Heading3"/>
        <w:numPr>
          <w:ilvl w:val="0"/>
          <w:numId w:val="0"/>
        </w:numPr>
        <w:spacing w:before="0" w:after="0"/>
        <w:contextualSpacing w:val="0"/>
        <w:rPr>
          <w:rFonts w:ascii="Arial" w:hAnsi="Arial"/>
          <w:sz w:val="22"/>
          <w:szCs w:val="22"/>
        </w:rPr>
      </w:pPr>
      <w:r w:rsidRPr="004A7469">
        <w:rPr>
          <w:rFonts w:ascii="Arial" w:hAnsi="Arial"/>
          <w:sz w:val="22"/>
          <w:szCs w:val="22"/>
        </w:rPr>
        <w:t xml:space="preserve">3.1 </w:t>
      </w:r>
      <w:r w:rsidR="00D279AE" w:rsidRPr="004A7469">
        <w:rPr>
          <w:rFonts w:ascii="Arial" w:hAnsi="Arial"/>
          <w:sz w:val="22"/>
          <w:szCs w:val="22"/>
        </w:rPr>
        <w:t>70% cap on non-audit services</w:t>
      </w:r>
    </w:p>
    <w:p w14:paraId="086FDFFB" w14:textId="0A2E362F" w:rsidR="002C707D" w:rsidRPr="004A7469" w:rsidRDefault="00D279AE" w:rsidP="00D12EB3">
      <w:pPr>
        <w:spacing w:after="0"/>
        <w:jc w:val="both"/>
        <w:rPr>
          <w:rFonts w:ascii="Arial" w:hAnsi="Arial" w:cs="Arial"/>
          <w:sz w:val="22"/>
          <w:szCs w:val="22"/>
          <w:lang w:val="en-GB"/>
        </w:rPr>
      </w:pPr>
      <w:r w:rsidRPr="004A7469">
        <w:rPr>
          <w:rFonts w:ascii="Arial" w:hAnsi="Arial" w:cs="Arial"/>
          <w:sz w:val="22"/>
          <w:szCs w:val="22"/>
          <w:lang w:val="en-GB"/>
        </w:rPr>
        <w:t>There is a 70% cap on non-audit services provided by the External Auditor</w:t>
      </w:r>
      <w:r w:rsidR="00093872" w:rsidRPr="004A7469">
        <w:rPr>
          <w:rFonts w:ascii="Arial" w:hAnsi="Arial" w:cs="Arial"/>
          <w:sz w:val="22"/>
          <w:szCs w:val="22"/>
          <w:lang w:val="en-GB"/>
        </w:rPr>
        <w:t xml:space="preserve">. </w:t>
      </w:r>
      <w:r w:rsidR="00093872" w:rsidRPr="004A7469">
        <w:rPr>
          <w:rFonts w:ascii="Arial" w:hAnsi="Arial" w:cs="Arial"/>
          <w:sz w:val="22"/>
          <w:szCs w:val="22"/>
        </w:rPr>
        <w:t xml:space="preserve">The cap is based on comparing the average of three consecutive years of statutory audit fees to the non-audit services in the fourth year. </w:t>
      </w:r>
      <w:r w:rsidR="007760C7" w:rsidRPr="004A7469">
        <w:rPr>
          <w:rFonts w:ascii="Arial" w:hAnsi="Arial" w:cs="Arial"/>
          <w:sz w:val="22"/>
          <w:szCs w:val="22"/>
          <w:lang w:val="en-GB"/>
        </w:rPr>
        <w:t>The FRC’s whitelist of non-audit ser</w:t>
      </w:r>
      <w:r w:rsidRPr="004A7469">
        <w:rPr>
          <w:rFonts w:ascii="Arial" w:hAnsi="Arial" w:cs="Arial"/>
          <w:sz w:val="22"/>
          <w:szCs w:val="22"/>
          <w:lang w:val="en-GB"/>
        </w:rPr>
        <w:t>vices</w:t>
      </w:r>
      <w:r w:rsidR="008652C9" w:rsidRPr="004A7469">
        <w:rPr>
          <w:rFonts w:ascii="Arial" w:hAnsi="Arial" w:cs="Arial"/>
          <w:b/>
          <w:sz w:val="22"/>
          <w:szCs w:val="22"/>
          <w:lang w:val="en-GB"/>
        </w:rPr>
        <w:t xml:space="preserve"> </w:t>
      </w:r>
      <w:r w:rsidRPr="004A7469">
        <w:rPr>
          <w:rFonts w:ascii="Arial" w:hAnsi="Arial" w:cs="Arial"/>
          <w:sz w:val="22"/>
          <w:szCs w:val="22"/>
          <w:lang w:val="en-GB"/>
        </w:rPr>
        <w:t xml:space="preserve">indicates where a type of service is expected by the FRC to fall within or outside the 70% cap on non-audit services. </w:t>
      </w:r>
      <w:r w:rsidR="00B06033" w:rsidRPr="004A7469">
        <w:rPr>
          <w:rFonts w:ascii="Arial" w:hAnsi="Arial" w:cs="Arial"/>
          <w:sz w:val="22"/>
          <w:szCs w:val="22"/>
          <w:lang w:val="en-GB"/>
        </w:rPr>
        <w:t xml:space="preserve">In circumstances where the approval of </w:t>
      </w:r>
      <w:r w:rsidR="001B3FC1" w:rsidRPr="004A7469">
        <w:rPr>
          <w:rFonts w:ascii="Arial" w:hAnsi="Arial" w:cs="Arial"/>
          <w:sz w:val="22"/>
          <w:szCs w:val="22"/>
          <w:lang w:val="en-GB"/>
        </w:rPr>
        <w:t xml:space="preserve">a non-audit related engagement </w:t>
      </w:r>
      <w:r w:rsidR="00B06033" w:rsidRPr="004A7469">
        <w:rPr>
          <w:rFonts w:ascii="Arial" w:hAnsi="Arial" w:cs="Arial"/>
          <w:sz w:val="22"/>
          <w:szCs w:val="22"/>
          <w:lang w:val="en-GB"/>
        </w:rPr>
        <w:t xml:space="preserve">would </w:t>
      </w:r>
      <w:r w:rsidR="001B3FC1" w:rsidRPr="004A7469">
        <w:rPr>
          <w:rFonts w:ascii="Arial" w:hAnsi="Arial" w:cs="Arial"/>
          <w:sz w:val="22"/>
          <w:szCs w:val="22"/>
          <w:lang w:val="en-GB"/>
        </w:rPr>
        <w:t xml:space="preserve">result in </w:t>
      </w:r>
      <w:r w:rsidR="00B06033" w:rsidRPr="004A7469">
        <w:rPr>
          <w:rFonts w:ascii="Arial" w:hAnsi="Arial" w:cs="Arial"/>
          <w:sz w:val="22"/>
          <w:szCs w:val="22"/>
          <w:lang w:val="en-GB"/>
        </w:rPr>
        <w:t>the cumulative level of non-audit fees exceed</w:t>
      </w:r>
      <w:r w:rsidR="001B3FC1" w:rsidRPr="004A7469">
        <w:rPr>
          <w:rFonts w:ascii="Arial" w:hAnsi="Arial" w:cs="Arial"/>
          <w:sz w:val="22"/>
          <w:szCs w:val="22"/>
          <w:lang w:val="en-GB"/>
        </w:rPr>
        <w:t>ing</w:t>
      </w:r>
      <w:r w:rsidR="00B06033" w:rsidRPr="004A7469">
        <w:rPr>
          <w:rFonts w:ascii="Arial" w:hAnsi="Arial" w:cs="Arial"/>
          <w:sz w:val="22"/>
          <w:szCs w:val="22"/>
          <w:lang w:val="en-GB"/>
        </w:rPr>
        <w:t xml:space="preserve"> 70% of the statutory audit fee</w:t>
      </w:r>
      <w:r w:rsidR="00D51A8D" w:rsidRPr="004A7469">
        <w:rPr>
          <w:rFonts w:ascii="Arial" w:hAnsi="Arial" w:cs="Arial"/>
          <w:sz w:val="22"/>
          <w:szCs w:val="22"/>
          <w:lang w:val="en-GB"/>
        </w:rPr>
        <w:t xml:space="preserve"> paid in the last three consecutive financial years</w:t>
      </w:r>
      <w:r w:rsidR="00B06033" w:rsidRPr="004A7469">
        <w:rPr>
          <w:rFonts w:ascii="Arial" w:hAnsi="Arial" w:cs="Arial"/>
          <w:sz w:val="22"/>
          <w:szCs w:val="22"/>
          <w:lang w:val="en-GB"/>
        </w:rPr>
        <w:t xml:space="preserve">; </w:t>
      </w:r>
      <w:r w:rsidR="0055526A" w:rsidRPr="004A7469">
        <w:rPr>
          <w:rFonts w:ascii="Arial" w:hAnsi="Arial" w:cs="Arial"/>
          <w:sz w:val="22"/>
          <w:szCs w:val="22"/>
          <w:lang w:val="en-GB"/>
        </w:rPr>
        <w:t>pre-</w:t>
      </w:r>
      <w:r w:rsidR="00B06033" w:rsidRPr="004A7469">
        <w:rPr>
          <w:rFonts w:ascii="Arial" w:hAnsi="Arial" w:cs="Arial"/>
          <w:sz w:val="22"/>
          <w:szCs w:val="22"/>
          <w:lang w:val="en-GB"/>
        </w:rPr>
        <w:t>approval of the engagement along with any others in the financial year is required form the Audit Committee.</w:t>
      </w:r>
      <w:r w:rsidR="00D12EB3" w:rsidRPr="004A7469">
        <w:rPr>
          <w:rFonts w:ascii="Arial" w:hAnsi="Arial" w:cs="Arial"/>
          <w:sz w:val="22"/>
          <w:szCs w:val="22"/>
          <w:lang w:val="en-GB"/>
        </w:rPr>
        <w:t xml:space="preserve"> </w:t>
      </w:r>
      <w:r w:rsidR="002C707D" w:rsidRPr="004A7469">
        <w:rPr>
          <w:rFonts w:ascii="Arial" w:hAnsi="Arial" w:cs="Arial"/>
          <w:color w:val="000000"/>
          <w:sz w:val="22"/>
        </w:rPr>
        <w:t>At the request of an audit firm, the competent authority (FRC) may permit an exemption from the 70% fee cap requirements for an audited public interest entity for a period of up to two financial years.</w:t>
      </w:r>
    </w:p>
    <w:p w14:paraId="16E6BA2C" w14:textId="77777777" w:rsidR="002C707D" w:rsidRPr="004A7469" w:rsidRDefault="002C707D" w:rsidP="00283B16">
      <w:pPr>
        <w:pStyle w:val="Heading3"/>
        <w:numPr>
          <w:ilvl w:val="0"/>
          <w:numId w:val="0"/>
        </w:numPr>
        <w:spacing w:before="0" w:after="0"/>
        <w:contextualSpacing w:val="0"/>
        <w:jc w:val="both"/>
        <w:rPr>
          <w:rFonts w:ascii="Arial" w:hAnsi="Arial"/>
          <w:sz w:val="22"/>
          <w:szCs w:val="22"/>
        </w:rPr>
      </w:pPr>
    </w:p>
    <w:p w14:paraId="6A55BBE8" w14:textId="396C9D99" w:rsidR="00B06033" w:rsidRPr="004A7469" w:rsidRDefault="00B965CB" w:rsidP="00283B16">
      <w:pPr>
        <w:pStyle w:val="Heading3"/>
        <w:numPr>
          <w:ilvl w:val="0"/>
          <w:numId w:val="0"/>
        </w:numPr>
        <w:spacing w:before="0" w:after="0"/>
        <w:contextualSpacing w:val="0"/>
        <w:jc w:val="both"/>
        <w:rPr>
          <w:rFonts w:ascii="Arial" w:hAnsi="Arial"/>
          <w:sz w:val="22"/>
          <w:szCs w:val="22"/>
        </w:rPr>
      </w:pPr>
      <w:r w:rsidRPr="004A7469">
        <w:rPr>
          <w:rFonts w:ascii="Arial" w:hAnsi="Arial"/>
          <w:sz w:val="22"/>
          <w:szCs w:val="22"/>
        </w:rPr>
        <w:t xml:space="preserve">3.2 </w:t>
      </w:r>
      <w:r w:rsidR="00B06033" w:rsidRPr="004A7469">
        <w:rPr>
          <w:rFonts w:ascii="Arial" w:hAnsi="Arial"/>
          <w:sz w:val="22"/>
          <w:szCs w:val="22"/>
        </w:rPr>
        <w:t>Services provided by other audit firms</w:t>
      </w:r>
    </w:p>
    <w:p w14:paraId="7616936A" w14:textId="77777777" w:rsidR="00B06033" w:rsidRPr="004A7469" w:rsidRDefault="00B06033" w:rsidP="00283B16">
      <w:pPr>
        <w:spacing w:after="0"/>
        <w:jc w:val="both"/>
        <w:rPr>
          <w:rFonts w:ascii="Arial" w:hAnsi="Arial" w:cs="Arial"/>
          <w:sz w:val="22"/>
          <w:szCs w:val="22"/>
          <w:lang w:val="en-GB"/>
        </w:rPr>
      </w:pPr>
      <w:r w:rsidRPr="004A7469">
        <w:rPr>
          <w:rFonts w:ascii="Arial" w:hAnsi="Arial" w:cs="Arial"/>
          <w:sz w:val="22"/>
          <w:szCs w:val="22"/>
          <w:lang w:val="en-GB"/>
        </w:rPr>
        <w:t xml:space="preserve">SSE’s external audit contract </w:t>
      </w:r>
      <w:r w:rsidR="0055526A" w:rsidRPr="004A7469">
        <w:rPr>
          <w:rFonts w:ascii="Arial" w:hAnsi="Arial" w:cs="Arial"/>
          <w:sz w:val="22"/>
          <w:szCs w:val="22"/>
          <w:lang w:val="en-GB"/>
        </w:rPr>
        <w:t>is</w:t>
      </w:r>
      <w:r w:rsidRPr="004A7469">
        <w:rPr>
          <w:rFonts w:ascii="Arial" w:hAnsi="Arial" w:cs="Arial"/>
          <w:sz w:val="22"/>
          <w:szCs w:val="22"/>
          <w:lang w:val="en-GB"/>
        </w:rPr>
        <w:t xml:space="preserve"> subject to mandatory rotation from time-to-time. Audit firms wishing to tender for the external audit </w:t>
      </w:r>
      <w:r w:rsidR="00930C7E" w:rsidRPr="004A7469">
        <w:rPr>
          <w:rFonts w:ascii="Arial" w:hAnsi="Arial" w:cs="Arial"/>
          <w:sz w:val="22"/>
          <w:szCs w:val="22"/>
          <w:lang w:val="en-GB"/>
        </w:rPr>
        <w:t>contract would</w:t>
      </w:r>
      <w:r w:rsidR="0055526A" w:rsidRPr="004A7469">
        <w:rPr>
          <w:rFonts w:ascii="Arial" w:hAnsi="Arial" w:cs="Arial"/>
          <w:sz w:val="22"/>
          <w:szCs w:val="22"/>
          <w:lang w:val="en-GB"/>
        </w:rPr>
        <w:t xml:space="preserve"> </w:t>
      </w:r>
      <w:r w:rsidRPr="004A7469">
        <w:rPr>
          <w:rFonts w:ascii="Arial" w:hAnsi="Arial" w:cs="Arial"/>
          <w:sz w:val="22"/>
          <w:szCs w:val="22"/>
          <w:lang w:val="en-GB"/>
        </w:rPr>
        <w:t xml:space="preserve">be restricted if they provide </w:t>
      </w:r>
      <w:r w:rsidR="007A0716" w:rsidRPr="004A7469">
        <w:rPr>
          <w:rFonts w:ascii="Arial" w:hAnsi="Arial" w:cs="Arial"/>
          <w:sz w:val="22"/>
          <w:szCs w:val="22"/>
          <w:lang w:val="en-GB"/>
        </w:rPr>
        <w:t>prohibited non-audit services outlined in Appendix B of the FRC’s Revised Ethical Standard</w:t>
      </w:r>
      <w:r w:rsidR="004F1231" w:rsidRPr="004A7469">
        <w:rPr>
          <w:rFonts w:ascii="Arial" w:hAnsi="Arial" w:cs="Arial"/>
          <w:sz w:val="22"/>
          <w:szCs w:val="22"/>
          <w:lang w:val="en-GB"/>
        </w:rPr>
        <w:t xml:space="preserve"> 2024</w:t>
      </w:r>
      <w:r w:rsidR="007A0716" w:rsidRPr="004A7469">
        <w:rPr>
          <w:rFonts w:ascii="Arial" w:hAnsi="Arial" w:cs="Arial"/>
          <w:sz w:val="22"/>
          <w:szCs w:val="22"/>
          <w:lang w:val="en-GB"/>
        </w:rPr>
        <w:t xml:space="preserve"> </w:t>
      </w:r>
      <w:r w:rsidR="00A2223C" w:rsidRPr="004A7469">
        <w:rPr>
          <w:rFonts w:ascii="Arial" w:hAnsi="Arial" w:cs="Arial"/>
          <w:sz w:val="22"/>
          <w:szCs w:val="22"/>
          <w:lang w:val="en-GB"/>
        </w:rPr>
        <w:t xml:space="preserve">in the 12 months </w:t>
      </w:r>
      <w:r w:rsidR="00C746AB" w:rsidRPr="004A7469">
        <w:rPr>
          <w:rFonts w:ascii="Arial" w:hAnsi="Arial" w:cs="Arial"/>
          <w:sz w:val="22"/>
          <w:szCs w:val="22"/>
          <w:lang w:val="en-GB"/>
        </w:rPr>
        <w:t xml:space="preserve">before the first period of the external audit. </w:t>
      </w:r>
      <w:r w:rsidR="00484AFF" w:rsidRPr="004A7469">
        <w:rPr>
          <w:rFonts w:ascii="Arial" w:hAnsi="Arial" w:cs="Arial"/>
          <w:sz w:val="22"/>
          <w:szCs w:val="22"/>
          <w:lang w:val="en-GB"/>
        </w:rPr>
        <w:t>Pre-a</w:t>
      </w:r>
      <w:r w:rsidR="00C746AB" w:rsidRPr="004A7469">
        <w:rPr>
          <w:rFonts w:ascii="Arial" w:hAnsi="Arial" w:cs="Arial"/>
          <w:sz w:val="22"/>
          <w:szCs w:val="22"/>
          <w:lang w:val="en-GB"/>
        </w:rPr>
        <w:t xml:space="preserve">pproval of </w:t>
      </w:r>
      <w:r w:rsidR="00484AFF" w:rsidRPr="004A7469">
        <w:rPr>
          <w:rFonts w:ascii="Arial" w:hAnsi="Arial" w:cs="Arial"/>
          <w:sz w:val="22"/>
          <w:szCs w:val="22"/>
          <w:lang w:val="en-GB"/>
        </w:rPr>
        <w:t xml:space="preserve">such </w:t>
      </w:r>
      <w:r w:rsidR="00C746AB" w:rsidRPr="004A7469">
        <w:rPr>
          <w:rFonts w:ascii="Arial" w:hAnsi="Arial" w:cs="Arial"/>
          <w:sz w:val="22"/>
          <w:szCs w:val="22"/>
          <w:lang w:val="en-GB"/>
        </w:rPr>
        <w:t xml:space="preserve">services </w:t>
      </w:r>
      <w:r w:rsidR="00930C7E" w:rsidRPr="004A7469">
        <w:rPr>
          <w:rFonts w:ascii="Arial" w:hAnsi="Arial" w:cs="Arial"/>
          <w:sz w:val="22"/>
          <w:szCs w:val="22"/>
          <w:lang w:val="en-GB"/>
        </w:rPr>
        <w:t>from any</w:t>
      </w:r>
      <w:r w:rsidR="00C746AB" w:rsidRPr="004A7469">
        <w:rPr>
          <w:rFonts w:ascii="Arial" w:hAnsi="Arial" w:cs="Arial"/>
          <w:sz w:val="22"/>
          <w:szCs w:val="22"/>
          <w:lang w:val="en-GB"/>
        </w:rPr>
        <w:t xml:space="preserve"> </w:t>
      </w:r>
      <w:r w:rsidR="00A2223C" w:rsidRPr="004A7469">
        <w:rPr>
          <w:rFonts w:ascii="Arial" w:hAnsi="Arial" w:cs="Arial"/>
          <w:sz w:val="22"/>
          <w:szCs w:val="22"/>
          <w:lang w:val="en-GB"/>
        </w:rPr>
        <w:t xml:space="preserve">audit firm must </w:t>
      </w:r>
      <w:r w:rsidR="00930C7E" w:rsidRPr="004A7469">
        <w:rPr>
          <w:rFonts w:ascii="Arial" w:hAnsi="Arial" w:cs="Arial"/>
          <w:sz w:val="22"/>
          <w:szCs w:val="22"/>
          <w:lang w:val="en-GB"/>
        </w:rPr>
        <w:t>be obtained</w:t>
      </w:r>
      <w:r w:rsidR="00484AFF" w:rsidRPr="004A7469">
        <w:rPr>
          <w:rFonts w:ascii="Arial" w:hAnsi="Arial" w:cs="Arial"/>
          <w:sz w:val="22"/>
          <w:szCs w:val="22"/>
          <w:lang w:val="en-GB"/>
        </w:rPr>
        <w:t xml:space="preserve"> </w:t>
      </w:r>
      <w:r w:rsidR="00930C7E" w:rsidRPr="004A7469">
        <w:rPr>
          <w:rFonts w:ascii="Arial" w:hAnsi="Arial" w:cs="Arial"/>
          <w:sz w:val="22"/>
          <w:szCs w:val="22"/>
          <w:lang w:val="en-GB"/>
        </w:rPr>
        <w:t>from the</w:t>
      </w:r>
      <w:r w:rsidR="00B965CB" w:rsidRPr="004A7469">
        <w:rPr>
          <w:rFonts w:ascii="Arial" w:hAnsi="Arial" w:cs="Arial"/>
          <w:sz w:val="22"/>
          <w:szCs w:val="22"/>
          <w:lang w:val="en-GB"/>
        </w:rPr>
        <w:t xml:space="preserve"> Chief Financial Officer</w:t>
      </w:r>
      <w:r w:rsidR="00B86CF9" w:rsidRPr="004A7469">
        <w:rPr>
          <w:rFonts w:ascii="Arial" w:hAnsi="Arial" w:cs="Arial"/>
          <w:sz w:val="22"/>
          <w:szCs w:val="22"/>
          <w:lang w:val="en-GB"/>
        </w:rPr>
        <w:t xml:space="preserve">. </w:t>
      </w:r>
      <w:r w:rsidR="00DE1C11" w:rsidRPr="004A7469">
        <w:rPr>
          <w:rFonts w:ascii="Arial" w:hAnsi="Arial" w:cs="Arial"/>
          <w:sz w:val="22"/>
          <w:szCs w:val="22"/>
          <w:lang w:val="en-GB"/>
        </w:rPr>
        <w:t xml:space="preserve">Any firm appointed for reporting accountant services will have to assess their independence to broadly the same standard as if they were the external auditor of the </w:t>
      </w:r>
      <w:r w:rsidR="00B700BF" w:rsidRPr="004A7469">
        <w:rPr>
          <w:rFonts w:ascii="Arial" w:hAnsi="Arial" w:cs="Arial"/>
          <w:sz w:val="22"/>
          <w:szCs w:val="22"/>
          <w:lang w:val="en-GB"/>
        </w:rPr>
        <w:t>Group.</w:t>
      </w:r>
    </w:p>
    <w:p w14:paraId="5B223C12" w14:textId="77777777" w:rsidR="00283B16" w:rsidRPr="004A7469" w:rsidRDefault="00283B16" w:rsidP="00283B16">
      <w:pPr>
        <w:spacing w:after="0"/>
        <w:jc w:val="both"/>
        <w:rPr>
          <w:rFonts w:ascii="Arial" w:hAnsi="Arial" w:cs="Arial"/>
          <w:sz w:val="22"/>
          <w:szCs w:val="22"/>
          <w:lang w:val="en-GB"/>
        </w:rPr>
      </w:pPr>
    </w:p>
    <w:p w14:paraId="4B677467" w14:textId="77777777" w:rsidR="00A2223C" w:rsidRPr="004A7469" w:rsidRDefault="00A2223C" w:rsidP="00283B16">
      <w:pPr>
        <w:pStyle w:val="Heading2"/>
        <w:numPr>
          <w:ilvl w:val="0"/>
          <w:numId w:val="0"/>
        </w:numPr>
        <w:spacing w:before="0" w:after="0"/>
        <w:contextualSpacing w:val="0"/>
        <w:jc w:val="both"/>
        <w:rPr>
          <w:rFonts w:ascii="Arial" w:hAnsi="Arial"/>
          <w:b/>
          <w:bCs w:val="0"/>
          <w:sz w:val="22"/>
          <w:szCs w:val="22"/>
        </w:rPr>
      </w:pPr>
      <w:r w:rsidRPr="004A7469">
        <w:rPr>
          <w:rFonts w:ascii="Arial" w:hAnsi="Arial"/>
          <w:b/>
          <w:bCs w:val="0"/>
          <w:sz w:val="22"/>
          <w:szCs w:val="22"/>
        </w:rPr>
        <w:t>4.</w:t>
      </w:r>
      <w:r w:rsidR="004E5127" w:rsidRPr="004A7469">
        <w:rPr>
          <w:rFonts w:ascii="Arial" w:hAnsi="Arial"/>
          <w:b/>
          <w:bCs w:val="0"/>
          <w:sz w:val="22"/>
          <w:szCs w:val="22"/>
        </w:rPr>
        <w:t xml:space="preserve"> </w:t>
      </w:r>
      <w:r w:rsidRPr="004A7469">
        <w:rPr>
          <w:rFonts w:ascii="Arial" w:hAnsi="Arial"/>
          <w:b/>
          <w:bCs w:val="0"/>
          <w:sz w:val="22"/>
          <w:szCs w:val="22"/>
        </w:rPr>
        <w:t>APPROVAL PROCESS</w:t>
      </w:r>
    </w:p>
    <w:p w14:paraId="5AE9628A" w14:textId="77777777" w:rsidR="00A2223C" w:rsidRPr="004A7469" w:rsidRDefault="00A2223C" w:rsidP="00283B16">
      <w:pPr>
        <w:spacing w:after="0"/>
        <w:jc w:val="both"/>
        <w:rPr>
          <w:rFonts w:ascii="Arial" w:hAnsi="Arial" w:cs="Arial"/>
          <w:sz w:val="22"/>
          <w:szCs w:val="22"/>
          <w:lang w:val="en-GB"/>
        </w:rPr>
      </w:pPr>
      <w:r w:rsidRPr="004A7469">
        <w:rPr>
          <w:rFonts w:ascii="Arial" w:hAnsi="Arial" w:cs="Arial"/>
          <w:sz w:val="22"/>
          <w:szCs w:val="22"/>
          <w:lang w:val="en-GB"/>
        </w:rPr>
        <w:t xml:space="preserve">To seek approval for a particular engagement in accordance with this </w:t>
      </w:r>
      <w:r w:rsidR="00FA297B" w:rsidRPr="004A7469">
        <w:rPr>
          <w:rFonts w:ascii="Arial" w:hAnsi="Arial" w:cs="Arial"/>
          <w:sz w:val="22"/>
          <w:szCs w:val="22"/>
          <w:lang w:val="en-GB"/>
        </w:rPr>
        <w:t>procedure</w:t>
      </w:r>
      <w:r w:rsidRPr="004A7469">
        <w:rPr>
          <w:rFonts w:ascii="Arial" w:hAnsi="Arial" w:cs="Arial"/>
          <w:sz w:val="22"/>
          <w:szCs w:val="22"/>
          <w:lang w:val="en-GB"/>
        </w:rPr>
        <w:t>, the sponsor should obtain a proposed s</w:t>
      </w:r>
      <w:r w:rsidR="00D51A8D" w:rsidRPr="004A7469">
        <w:rPr>
          <w:rFonts w:ascii="Arial" w:hAnsi="Arial" w:cs="Arial"/>
          <w:sz w:val="22"/>
          <w:szCs w:val="22"/>
          <w:lang w:val="en-GB"/>
        </w:rPr>
        <w:t>cope and fee estimate from the External A</w:t>
      </w:r>
      <w:r w:rsidRPr="004A7469">
        <w:rPr>
          <w:rFonts w:ascii="Arial" w:hAnsi="Arial" w:cs="Arial"/>
          <w:sz w:val="22"/>
          <w:szCs w:val="22"/>
          <w:lang w:val="en-GB"/>
        </w:rPr>
        <w:t xml:space="preserve">uditor before any work commences. This may involve a competitive tender process. An authorisation </w:t>
      </w:r>
      <w:r w:rsidR="006268D2" w:rsidRPr="004A7469">
        <w:rPr>
          <w:rFonts w:ascii="Arial" w:hAnsi="Arial" w:cs="Arial"/>
          <w:sz w:val="22"/>
          <w:szCs w:val="22"/>
          <w:lang w:val="en-GB"/>
        </w:rPr>
        <w:t xml:space="preserve">request must be </w:t>
      </w:r>
      <w:r w:rsidRPr="004A7469">
        <w:rPr>
          <w:rFonts w:ascii="Arial" w:hAnsi="Arial" w:cs="Arial"/>
          <w:sz w:val="22"/>
          <w:szCs w:val="22"/>
          <w:lang w:val="en-GB"/>
        </w:rPr>
        <w:t xml:space="preserve">submitted to the </w:t>
      </w:r>
      <w:r w:rsidR="00B965CB" w:rsidRPr="004A7469">
        <w:rPr>
          <w:rFonts w:ascii="Arial" w:hAnsi="Arial" w:cs="Arial"/>
          <w:sz w:val="22"/>
          <w:szCs w:val="22"/>
          <w:lang w:val="en-GB"/>
        </w:rPr>
        <w:t>Chief Financial Officer</w:t>
      </w:r>
      <w:r w:rsidR="004F1231" w:rsidRPr="004A7469">
        <w:rPr>
          <w:rFonts w:ascii="Arial" w:hAnsi="Arial" w:cs="Arial"/>
          <w:sz w:val="22"/>
          <w:szCs w:val="22"/>
          <w:lang w:val="en-GB"/>
        </w:rPr>
        <w:t>, copying the Audit Committee Secretary,</w:t>
      </w:r>
      <w:r w:rsidRPr="004A7469">
        <w:rPr>
          <w:rFonts w:ascii="Arial" w:hAnsi="Arial" w:cs="Arial"/>
          <w:sz w:val="22"/>
          <w:szCs w:val="22"/>
          <w:lang w:val="en-GB"/>
        </w:rPr>
        <w:t xml:space="preserve"> for initial consideration before approval</w:t>
      </w:r>
      <w:r w:rsidR="006268D2" w:rsidRPr="004A7469">
        <w:rPr>
          <w:rFonts w:ascii="Arial" w:hAnsi="Arial" w:cs="Arial"/>
          <w:sz w:val="22"/>
          <w:szCs w:val="22"/>
          <w:lang w:val="en-GB"/>
        </w:rPr>
        <w:t xml:space="preserve"> is sought</w:t>
      </w:r>
      <w:r w:rsidRPr="004A7469">
        <w:rPr>
          <w:rFonts w:ascii="Arial" w:hAnsi="Arial" w:cs="Arial"/>
          <w:sz w:val="22"/>
          <w:szCs w:val="22"/>
          <w:lang w:val="en-GB"/>
        </w:rPr>
        <w:t xml:space="preserve"> in accordance with this </w:t>
      </w:r>
      <w:r w:rsidR="00FA297B" w:rsidRPr="004A7469">
        <w:rPr>
          <w:rFonts w:ascii="Arial" w:hAnsi="Arial" w:cs="Arial"/>
          <w:sz w:val="22"/>
          <w:szCs w:val="22"/>
          <w:lang w:val="en-GB"/>
        </w:rPr>
        <w:t>procedure</w:t>
      </w:r>
      <w:r w:rsidRPr="004A7469">
        <w:rPr>
          <w:rFonts w:ascii="Arial" w:hAnsi="Arial" w:cs="Arial"/>
          <w:sz w:val="22"/>
          <w:szCs w:val="22"/>
          <w:lang w:val="en-GB"/>
        </w:rPr>
        <w:t>.</w:t>
      </w:r>
      <w:r w:rsidR="004F1231" w:rsidRPr="004A7469">
        <w:rPr>
          <w:rFonts w:ascii="Arial" w:hAnsi="Arial" w:cs="Arial"/>
          <w:sz w:val="22"/>
          <w:szCs w:val="22"/>
          <w:lang w:val="en-GB"/>
        </w:rPr>
        <w:t xml:space="preserve"> </w:t>
      </w:r>
    </w:p>
    <w:p w14:paraId="46764124" w14:textId="77777777" w:rsidR="004F1231" w:rsidRPr="004A7469" w:rsidRDefault="004F1231" w:rsidP="00283B16">
      <w:pPr>
        <w:spacing w:after="0"/>
        <w:jc w:val="both"/>
        <w:rPr>
          <w:rFonts w:ascii="Arial" w:hAnsi="Arial" w:cs="Arial"/>
          <w:sz w:val="22"/>
          <w:szCs w:val="22"/>
          <w:lang w:val="en-GB"/>
        </w:rPr>
      </w:pPr>
    </w:p>
    <w:p w14:paraId="41ADE954" w14:textId="77777777" w:rsidR="00A2223C" w:rsidRPr="004A7469" w:rsidRDefault="00A2223C" w:rsidP="00283B16">
      <w:pPr>
        <w:spacing w:after="0"/>
        <w:jc w:val="both"/>
        <w:rPr>
          <w:rFonts w:ascii="Arial" w:hAnsi="Arial" w:cs="Arial"/>
          <w:sz w:val="22"/>
          <w:szCs w:val="22"/>
          <w:lang w:val="en-GB"/>
        </w:rPr>
      </w:pPr>
      <w:r w:rsidRPr="004A7469">
        <w:rPr>
          <w:rFonts w:ascii="Arial" w:hAnsi="Arial" w:cs="Arial"/>
          <w:sz w:val="22"/>
          <w:szCs w:val="22"/>
          <w:lang w:val="en-GB"/>
        </w:rPr>
        <w:t xml:space="preserve">Once approved, the </w:t>
      </w:r>
      <w:r w:rsidR="00121613" w:rsidRPr="004A7469">
        <w:rPr>
          <w:rFonts w:ascii="Arial" w:hAnsi="Arial" w:cs="Arial"/>
          <w:sz w:val="22"/>
          <w:szCs w:val="22"/>
          <w:lang w:val="en-GB"/>
        </w:rPr>
        <w:t xml:space="preserve">proposed engagement </w:t>
      </w:r>
      <w:r w:rsidRPr="004A7469">
        <w:rPr>
          <w:rFonts w:ascii="Arial" w:hAnsi="Arial" w:cs="Arial"/>
          <w:sz w:val="22"/>
          <w:szCs w:val="22"/>
          <w:lang w:val="en-GB"/>
        </w:rPr>
        <w:t xml:space="preserve">should be logged by the Audit Committee Secretary and raised at the next Audit Committee meeting. The Group </w:t>
      </w:r>
      <w:r w:rsidR="008652C9" w:rsidRPr="004A7469">
        <w:rPr>
          <w:rFonts w:ascii="Arial" w:hAnsi="Arial" w:cs="Arial"/>
          <w:sz w:val="22"/>
          <w:szCs w:val="22"/>
          <w:lang w:val="en-GB"/>
        </w:rPr>
        <w:t>Finance Director</w:t>
      </w:r>
      <w:r w:rsidRPr="004A7469">
        <w:rPr>
          <w:rFonts w:ascii="Arial" w:hAnsi="Arial" w:cs="Arial"/>
          <w:sz w:val="22"/>
          <w:szCs w:val="22"/>
          <w:lang w:val="en-GB"/>
        </w:rPr>
        <w:t xml:space="preserve"> will also be i</w:t>
      </w:r>
      <w:r w:rsidR="00FA297B" w:rsidRPr="004A7469">
        <w:rPr>
          <w:rFonts w:ascii="Arial" w:hAnsi="Arial" w:cs="Arial"/>
          <w:sz w:val="22"/>
          <w:szCs w:val="22"/>
          <w:lang w:val="en-GB"/>
        </w:rPr>
        <w:t xml:space="preserve">nformed </w:t>
      </w:r>
      <w:r w:rsidR="008652C9" w:rsidRPr="004A7469">
        <w:rPr>
          <w:rFonts w:ascii="Arial" w:hAnsi="Arial" w:cs="Arial"/>
          <w:sz w:val="22"/>
          <w:szCs w:val="22"/>
          <w:lang w:val="en-GB"/>
        </w:rPr>
        <w:t>to</w:t>
      </w:r>
      <w:r w:rsidR="00FA297B" w:rsidRPr="004A7469">
        <w:rPr>
          <w:rFonts w:ascii="Arial" w:hAnsi="Arial" w:cs="Arial"/>
          <w:sz w:val="22"/>
          <w:szCs w:val="22"/>
          <w:lang w:val="en-GB"/>
        </w:rPr>
        <w:t xml:space="preserve"> track fees.</w:t>
      </w:r>
    </w:p>
    <w:p w14:paraId="47DD20E5" w14:textId="77777777" w:rsidR="00283B16" w:rsidRPr="004A7469" w:rsidRDefault="00283B16" w:rsidP="00283B16">
      <w:pPr>
        <w:spacing w:after="0"/>
        <w:jc w:val="both"/>
        <w:rPr>
          <w:rFonts w:ascii="Arial" w:hAnsi="Arial" w:cs="Arial"/>
          <w:sz w:val="22"/>
          <w:szCs w:val="22"/>
          <w:lang w:val="en-GB"/>
        </w:rPr>
      </w:pPr>
    </w:p>
    <w:p w14:paraId="0943C1D1" w14:textId="77777777" w:rsidR="00A2223C" w:rsidRPr="004A7469" w:rsidRDefault="00A2223C" w:rsidP="00283B16">
      <w:pPr>
        <w:pStyle w:val="Heading2"/>
        <w:numPr>
          <w:ilvl w:val="0"/>
          <w:numId w:val="0"/>
        </w:numPr>
        <w:spacing w:before="0" w:after="0"/>
        <w:contextualSpacing w:val="0"/>
        <w:jc w:val="both"/>
        <w:rPr>
          <w:rFonts w:ascii="Arial" w:hAnsi="Arial"/>
          <w:b/>
          <w:bCs w:val="0"/>
          <w:sz w:val="22"/>
          <w:szCs w:val="22"/>
        </w:rPr>
      </w:pPr>
      <w:r w:rsidRPr="004A7469">
        <w:rPr>
          <w:rFonts w:ascii="Arial" w:hAnsi="Arial"/>
          <w:b/>
          <w:bCs w:val="0"/>
          <w:sz w:val="22"/>
          <w:szCs w:val="22"/>
        </w:rPr>
        <w:t>5.</w:t>
      </w:r>
      <w:r w:rsidR="004E5127" w:rsidRPr="004A7469">
        <w:rPr>
          <w:rFonts w:ascii="Arial" w:hAnsi="Arial"/>
          <w:b/>
          <w:bCs w:val="0"/>
          <w:sz w:val="22"/>
          <w:szCs w:val="22"/>
        </w:rPr>
        <w:t xml:space="preserve"> </w:t>
      </w:r>
      <w:r w:rsidRPr="004A7469">
        <w:rPr>
          <w:rFonts w:ascii="Arial" w:hAnsi="Arial"/>
          <w:b/>
          <w:bCs w:val="0"/>
          <w:sz w:val="22"/>
          <w:szCs w:val="22"/>
        </w:rPr>
        <w:t>REPORTING</w:t>
      </w:r>
    </w:p>
    <w:p w14:paraId="076F337D" w14:textId="77777777" w:rsidR="00A2223C" w:rsidRPr="004A7469" w:rsidRDefault="00A2223C" w:rsidP="00283B16">
      <w:pPr>
        <w:spacing w:after="0"/>
        <w:jc w:val="both"/>
        <w:rPr>
          <w:rFonts w:ascii="Arial" w:hAnsi="Arial" w:cs="Arial"/>
          <w:sz w:val="22"/>
          <w:szCs w:val="22"/>
          <w:lang w:val="en-GB"/>
        </w:rPr>
      </w:pPr>
      <w:r w:rsidRPr="004A7469">
        <w:rPr>
          <w:rFonts w:ascii="Arial" w:hAnsi="Arial" w:cs="Arial"/>
          <w:sz w:val="22"/>
          <w:szCs w:val="22"/>
          <w:lang w:val="en-GB"/>
        </w:rPr>
        <w:t>The Audit Committee will receive a quarterly report on the services being pro</w:t>
      </w:r>
      <w:r w:rsidR="00D51A8D" w:rsidRPr="004A7469">
        <w:rPr>
          <w:rFonts w:ascii="Arial" w:hAnsi="Arial" w:cs="Arial"/>
          <w:sz w:val="22"/>
          <w:szCs w:val="22"/>
          <w:lang w:val="en-GB"/>
        </w:rPr>
        <w:t xml:space="preserve">vided by the External Auditor. </w:t>
      </w:r>
      <w:r w:rsidR="006268D2" w:rsidRPr="004A7469">
        <w:rPr>
          <w:rFonts w:ascii="Arial" w:hAnsi="Arial" w:cs="Arial"/>
          <w:sz w:val="22"/>
          <w:szCs w:val="22"/>
          <w:lang w:val="en-GB"/>
        </w:rPr>
        <w:t>T</w:t>
      </w:r>
      <w:r w:rsidRPr="004A7469">
        <w:rPr>
          <w:rFonts w:ascii="Arial" w:hAnsi="Arial" w:cs="Arial"/>
          <w:sz w:val="22"/>
          <w:szCs w:val="22"/>
          <w:lang w:val="en-GB"/>
        </w:rPr>
        <w:t xml:space="preserve">he Audit Committee will report to shareholders </w:t>
      </w:r>
      <w:r w:rsidR="00D51A8D" w:rsidRPr="004A7469">
        <w:rPr>
          <w:rFonts w:ascii="Arial" w:hAnsi="Arial" w:cs="Arial"/>
          <w:sz w:val="22"/>
          <w:szCs w:val="22"/>
          <w:lang w:val="en-GB"/>
        </w:rPr>
        <w:t xml:space="preserve">as a minimum </w:t>
      </w:r>
      <w:r w:rsidRPr="004A7469">
        <w:rPr>
          <w:rFonts w:ascii="Arial" w:hAnsi="Arial" w:cs="Arial"/>
          <w:sz w:val="22"/>
          <w:szCs w:val="22"/>
          <w:lang w:val="en-GB"/>
        </w:rPr>
        <w:t>on:</w:t>
      </w:r>
    </w:p>
    <w:p w14:paraId="5016FD9A" w14:textId="77777777" w:rsidR="00A2223C" w:rsidRPr="004A7469" w:rsidRDefault="00A2223C" w:rsidP="00283B16">
      <w:pPr>
        <w:numPr>
          <w:ilvl w:val="0"/>
          <w:numId w:val="14"/>
        </w:numPr>
        <w:spacing w:after="0"/>
        <w:jc w:val="both"/>
        <w:rPr>
          <w:rFonts w:ascii="Arial" w:hAnsi="Arial" w:cs="Arial"/>
          <w:sz w:val="22"/>
          <w:szCs w:val="22"/>
          <w:lang w:val="en-GB"/>
        </w:rPr>
      </w:pPr>
      <w:r w:rsidRPr="004A7469">
        <w:rPr>
          <w:rFonts w:ascii="Arial" w:hAnsi="Arial" w:cs="Arial"/>
          <w:sz w:val="22"/>
          <w:szCs w:val="22"/>
          <w:lang w:val="en-GB"/>
        </w:rPr>
        <w:t xml:space="preserve">The Company’s annual expenditure with the External Auditor on </w:t>
      </w:r>
      <w:r w:rsidR="00112CEE" w:rsidRPr="004A7469">
        <w:rPr>
          <w:rFonts w:ascii="Arial" w:hAnsi="Arial" w:cs="Arial"/>
          <w:sz w:val="22"/>
          <w:szCs w:val="22"/>
          <w:lang w:val="en-GB"/>
        </w:rPr>
        <w:t>a</w:t>
      </w:r>
      <w:r w:rsidRPr="004A7469">
        <w:rPr>
          <w:rFonts w:ascii="Arial" w:hAnsi="Arial" w:cs="Arial"/>
          <w:sz w:val="22"/>
          <w:szCs w:val="22"/>
          <w:lang w:val="en-GB"/>
        </w:rPr>
        <w:t xml:space="preserve">udit, </w:t>
      </w:r>
      <w:r w:rsidR="00112CEE" w:rsidRPr="004A7469">
        <w:rPr>
          <w:rFonts w:ascii="Arial" w:hAnsi="Arial" w:cs="Arial"/>
          <w:sz w:val="22"/>
          <w:szCs w:val="22"/>
          <w:lang w:val="en-GB"/>
        </w:rPr>
        <w:t>a</w:t>
      </w:r>
      <w:r w:rsidRPr="004A7469">
        <w:rPr>
          <w:rFonts w:ascii="Arial" w:hAnsi="Arial" w:cs="Arial"/>
          <w:sz w:val="22"/>
          <w:szCs w:val="22"/>
          <w:lang w:val="en-GB"/>
        </w:rPr>
        <w:t xml:space="preserve">udit </w:t>
      </w:r>
      <w:r w:rsidR="00112CEE" w:rsidRPr="004A7469">
        <w:rPr>
          <w:rFonts w:ascii="Arial" w:hAnsi="Arial" w:cs="Arial"/>
          <w:sz w:val="22"/>
          <w:szCs w:val="22"/>
          <w:lang w:val="en-GB"/>
        </w:rPr>
        <w:t>r</w:t>
      </w:r>
      <w:r w:rsidRPr="004A7469">
        <w:rPr>
          <w:rFonts w:ascii="Arial" w:hAnsi="Arial" w:cs="Arial"/>
          <w:sz w:val="22"/>
          <w:szCs w:val="22"/>
          <w:lang w:val="en-GB"/>
        </w:rPr>
        <w:t xml:space="preserve">elated </w:t>
      </w:r>
      <w:r w:rsidR="00112CEE" w:rsidRPr="004A7469">
        <w:rPr>
          <w:rFonts w:ascii="Arial" w:hAnsi="Arial" w:cs="Arial"/>
          <w:sz w:val="22"/>
          <w:szCs w:val="22"/>
          <w:lang w:val="en-GB"/>
        </w:rPr>
        <w:t>s</w:t>
      </w:r>
      <w:r w:rsidRPr="004A7469">
        <w:rPr>
          <w:rFonts w:ascii="Arial" w:hAnsi="Arial" w:cs="Arial"/>
          <w:sz w:val="22"/>
          <w:szCs w:val="22"/>
          <w:lang w:val="en-GB"/>
        </w:rPr>
        <w:t xml:space="preserve">ervices and </w:t>
      </w:r>
      <w:r w:rsidR="00112CEE" w:rsidRPr="004A7469">
        <w:rPr>
          <w:rFonts w:ascii="Arial" w:hAnsi="Arial" w:cs="Arial"/>
          <w:sz w:val="22"/>
          <w:szCs w:val="22"/>
          <w:lang w:val="en-GB"/>
        </w:rPr>
        <w:t>p</w:t>
      </w:r>
      <w:r w:rsidRPr="004A7469">
        <w:rPr>
          <w:rFonts w:ascii="Arial" w:hAnsi="Arial" w:cs="Arial"/>
          <w:sz w:val="22"/>
          <w:szCs w:val="22"/>
          <w:lang w:val="en-GB"/>
        </w:rPr>
        <w:t xml:space="preserve">ermitted </w:t>
      </w:r>
      <w:r w:rsidR="00112CEE" w:rsidRPr="004A7469">
        <w:rPr>
          <w:rFonts w:ascii="Arial" w:hAnsi="Arial" w:cs="Arial"/>
          <w:sz w:val="22"/>
          <w:szCs w:val="22"/>
          <w:lang w:val="en-GB"/>
        </w:rPr>
        <w:t>n</w:t>
      </w:r>
      <w:r w:rsidRPr="004A7469">
        <w:rPr>
          <w:rFonts w:ascii="Arial" w:hAnsi="Arial" w:cs="Arial"/>
          <w:sz w:val="22"/>
          <w:szCs w:val="22"/>
          <w:lang w:val="en-GB"/>
        </w:rPr>
        <w:t>on-</w:t>
      </w:r>
      <w:r w:rsidR="00112CEE" w:rsidRPr="004A7469">
        <w:rPr>
          <w:rFonts w:ascii="Arial" w:hAnsi="Arial" w:cs="Arial"/>
          <w:sz w:val="22"/>
          <w:szCs w:val="22"/>
          <w:lang w:val="en-GB"/>
        </w:rPr>
        <w:t>a</w:t>
      </w:r>
      <w:r w:rsidRPr="004A7469">
        <w:rPr>
          <w:rFonts w:ascii="Arial" w:hAnsi="Arial" w:cs="Arial"/>
          <w:sz w:val="22"/>
          <w:szCs w:val="22"/>
          <w:lang w:val="en-GB"/>
        </w:rPr>
        <w:t xml:space="preserve">udit </w:t>
      </w:r>
      <w:r w:rsidR="00112CEE" w:rsidRPr="004A7469">
        <w:rPr>
          <w:rFonts w:ascii="Arial" w:hAnsi="Arial" w:cs="Arial"/>
          <w:sz w:val="22"/>
          <w:szCs w:val="22"/>
          <w:lang w:val="en-GB"/>
        </w:rPr>
        <w:t>s</w:t>
      </w:r>
      <w:r w:rsidRPr="004A7469">
        <w:rPr>
          <w:rFonts w:ascii="Arial" w:hAnsi="Arial" w:cs="Arial"/>
          <w:sz w:val="22"/>
          <w:szCs w:val="22"/>
          <w:lang w:val="en-GB"/>
        </w:rPr>
        <w:t>ervices.</w:t>
      </w:r>
    </w:p>
    <w:p w14:paraId="1D0BE9D2" w14:textId="77777777" w:rsidR="00A2223C" w:rsidRPr="004A7469" w:rsidRDefault="00A2223C" w:rsidP="00283B16">
      <w:pPr>
        <w:numPr>
          <w:ilvl w:val="0"/>
          <w:numId w:val="14"/>
        </w:numPr>
        <w:spacing w:after="0"/>
        <w:jc w:val="both"/>
        <w:rPr>
          <w:rFonts w:ascii="Arial" w:hAnsi="Arial" w:cs="Arial"/>
          <w:sz w:val="22"/>
          <w:szCs w:val="22"/>
          <w:lang w:val="en-GB"/>
        </w:rPr>
      </w:pPr>
      <w:r w:rsidRPr="004A7469">
        <w:rPr>
          <w:rFonts w:ascii="Arial" w:hAnsi="Arial" w:cs="Arial"/>
          <w:sz w:val="22"/>
          <w:szCs w:val="22"/>
          <w:lang w:val="en-GB"/>
        </w:rPr>
        <w:t xml:space="preserve">Whether it is satisfied that the integrity of the audit has not been compromised by the provision of </w:t>
      </w:r>
      <w:r w:rsidR="00112CEE" w:rsidRPr="004A7469">
        <w:rPr>
          <w:rFonts w:ascii="Arial" w:hAnsi="Arial" w:cs="Arial"/>
          <w:sz w:val="22"/>
          <w:szCs w:val="22"/>
          <w:lang w:val="en-GB"/>
        </w:rPr>
        <w:t>a</w:t>
      </w:r>
      <w:r w:rsidRPr="004A7469">
        <w:rPr>
          <w:rFonts w:ascii="Arial" w:hAnsi="Arial" w:cs="Arial"/>
          <w:sz w:val="22"/>
          <w:szCs w:val="22"/>
          <w:lang w:val="en-GB"/>
        </w:rPr>
        <w:t xml:space="preserve">udit </w:t>
      </w:r>
      <w:r w:rsidR="00112CEE" w:rsidRPr="004A7469">
        <w:rPr>
          <w:rFonts w:ascii="Arial" w:hAnsi="Arial" w:cs="Arial"/>
          <w:sz w:val="22"/>
          <w:szCs w:val="22"/>
          <w:lang w:val="en-GB"/>
        </w:rPr>
        <w:t>r</w:t>
      </w:r>
      <w:r w:rsidRPr="004A7469">
        <w:rPr>
          <w:rFonts w:ascii="Arial" w:hAnsi="Arial" w:cs="Arial"/>
          <w:sz w:val="22"/>
          <w:szCs w:val="22"/>
          <w:lang w:val="en-GB"/>
        </w:rPr>
        <w:t xml:space="preserve">elated </w:t>
      </w:r>
      <w:r w:rsidR="00112CEE" w:rsidRPr="004A7469">
        <w:rPr>
          <w:rFonts w:ascii="Arial" w:hAnsi="Arial" w:cs="Arial"/>
          <w:sz w:val="22"/>
          <w:szCs w:val="22"/>
          <w:lang w:val="en-GB"/>
        </w:rPr>
        <w:t>s</w:t>
      </w:r>
      <w:r w:rsidRPr="004A7469">
        <w:rPr>
          <w:rFonts w:ascii="Arial" w:hAnsi="Arial" w:cs="Arial"/>
          <w:sz w:val="22"/>
          <w:szCs w:val="22"/>
          <w:lang w:val="en-GB"/>
        </w:rPr>
        <w:t xml:space="preserve">ervices and </w:t>
      </w:r>
      <w:r w:rsidR="00112CEE" w:rsidRPr="004A7469">
        <w:rPr>
          <w:rFonts w:ascii="Arial" w:hAnsi="Arial" w:cs="Arial"/>
          <w:sz w:val="22"/>
          <w:szCs w:val="22"/>
          <w:lang w:val="en-GB"/>
        </w:rPr>
        <w:t>p</w:t>
      </w:r>
      <w:r w:rsidRPr="004A7469">
        <w:rPr>
          <w:rFonts w:ascii="Arial" w:hAnsi="Arial" w:cs="Arial"/>
          <w:sz w:val="22"/>
          <w:szCs w:val="22"/>
          <w:lang w:val="en-GB"/>
        </w:rPr>
        <w:t xml:space="preserve">ermitted </w:t>
      </w:r>
      <w:r w:rsidR="00112CEE" w:rsidRPr="004A7469">
        <w:rPr>
          <w:rFonts w:ascii="Arial" w:hAnsi="Arial" w:cs="Arial"/>
          <w:sz w:val="22"/>
          <w:szCs w:val="22"/>
          <w:lang w:val="en-GB"/>
        </w:rPr>
        <w:t>n</w:t>
      </w:r>
      <w:r w:rsidRPr="004A7469">
        <w:rPr>
          <w:rFonts w:ascii="Arial" w:hAnsi="Arial" w:cs="Arial"/>
          <w:sz w:val="22"/>
          <w:szCs w:val="22"/>
          <w:lang w:val="en-GB"/>
        </w:rPr>
        <w:t>on-</w:t>
      </w:r>
      <w:r w:rsidR="00112CEE" w:rsidRPr="004A7469">
        <w:rPr>
          <w:rFonts w:ascii="Arial" w:hAnsi="Arial" w:cs="Arial"/>
          <w:sz w:val="22"/>
          <w:szCs w:val="22"/>
          <w:lang w:val="en-GB"/>
        </w:rPr>
        <w:t>a</w:t>
      </w:r>
      <w:r w:rsidRPr="004A7469">
        <w:rPr>
          <w:rFonts w:ascii="Arial" w:hAnsi="Arial" w:cs="Arial"/>
          <w:sz w:val="22"/>
          <w:szCs w:val="22"/>
          <w:lang w:val="en-GB"/>
        </w:rPr>
        <w:t xml:space="preserve">udit </w:t>
      </w:r>
      <w:r w:rsidR="00112CEE" w:rsidRPr="004A7469">
        <w:rPr>
          <w:rFonts w:ascii="Arial" w:hAnsi="Arial" w:cs="Arial"/>
          <w:sz w:val="22"/>
          <w:szCs w:val="22"/>
          <w:lang w:val="en-GB"/>
        </w:rPr>
        <w:t>s</w:t>
      </w:r>
      <w:r w:rsidRPr="004A7469">
        <w:rPr>
          <w:rFonts w:ascii="Arial" w:hAnsi="Arial" w:cs="Arial"/>
          <w:sz w:val="22"/>
          <w:szCs w:val="22"/>
          <w:lang w:val="en-GB"/>
        </w:rPr>
        <w:t>ervices.</w:t>
      </w:r>
    </w:p>
    <w:p w14:paraId="6D15CDD7" w14:textId="77777777" w:rsidR="00A2223C" w:rsidRPr="004A7469" w:rsidRDefault="00A2223C" w:rsidP="00283B16">
      <w:pPr>
        <w:numPr>
          <w:ilvl w:val="0"/>
          <w:numId w:val="14"/>
        </w:numPr>
        <w:spacing w:after="0"/>
        <w:jc w:val="both"/>
        <w:rPr>
          <w:rFonts w:ascii="Arial" w:hAnsi="Arial" w:cs="Arial"/>
          <w:sz w:val="22"/>
          <w:szCs w:val="22"/>
          <w:lang w:val="en-GB"/>
        </w:rPr>
      </w:pPr>
      <w:r w:rsidRPr="004A7469">
        <w:rPr>
          <w:rFonts w:ascii="Arial" w:hAnsi="Arial" w:cs="Arial"/>
          <w:sz w:val="22"/>
          <w:szCs w:val="22"/>
          <w:lang w:val="en-GB"/>
        </w:rPr>
        <w:t xml:space="preserve">How the </w:t>
      </w:r>
      <w:r w:rsidR="00D51A8D" w:rsidRPr="004A7469">
        <w:rPr>
          <w:rFonts w:ascii="Arial" w:hAnsi="Arial" w:cs="Arial"/>
          <w:sz w:val="22"/>
          <w:szCs w:val="22"/>
          <w:lang w:val="en-GB"/>
        </w:rPr>
        <w:t>policy</w:t>
      </w:r>
      <w:r w:rsidRPr="004A7469">
        <w:rPr>
          <w:rFonts w:ascii="Arial" w:hAnsi="Arial" w:cs="Arial"/>
          <w:sz w:val="22"/>
          <w:szCs w:val="22"/>
          <w:lang w:val="en-GB"/>
        </w:rPr>
        <w:t xml:space="preserve"> on the engagement of the External Auditor to supply non-audit services provides adequate protection to auditor objectivity and indepe</w:t>
      </w:r>
      <w:r w:rsidR="00FA297B" w:rsidRPr="004A7469">
        <w:rPr>
          <w:rFonts w:ascii="Arial" w:hAnsi="Arial" w:cs="Arial"/>
          <w:sz w:val="22"/>
          <w:szCs w:val="22"/>
          <w:lang w:val="en-GB"/>
        </w:rPr>
        <w:t>ndence.</w:t>
      </w:r>
    </w:p>
    <w:p w14:paraId="7886A5EA" w14:textId="77777777" w:rsidR="00283B16" w:rsidRPr="004A7469" w:rsidRDefault="00283B16" w:rsidP="00283B16">
      <w:pPr>
        <w:spacing w:after="0"/>
        <w:ind w:left="720"/>
        <w:jc w:val="both"/>
        <w:rPr>
          <w:rFonts w:ascii="Arial" w:hAnsi="Arial" w:cs="Arial"/>
          <w:sz w:val="22"/>
          <w:szCs w:val="22"/>
          <w:lang w:val="en-GB"/>
        </w:rPr>
      </w:pPr>
    </w:p>
    <w:p w14:paraId="6098091A" w14:textId="77777777" w:rsidR="00A2223C" w:rsidRPr="004A7469" w:rsidRDefault="00A2223C" w:rsidP="00283B16">
      <w:pPr>
        <w:pStyle w:val="Heading2"/>
        <w:numPr>
          <w:ilvl w:val="0"/>
          <w:numId w:val="0"/>
        </w:numPr>
        <w:spacing w:before="0" w:after="0"/>
        <w:contextualSpacing w:val="0"/>
        <w:rPr>
          <w:rFonts w:ascii="Arial" w:hAnsi="Arial"/>
          <w:b/>
          <w:bCs w:val="0"/>
          <w:sz w:val="22"/>
          <w:szCs w:val="22"/>
        </w:rPr>
      </w:pPr>
      <w:r w:rsidRPr="004A7469">
        <w:rPr>
          <w:rFonts w:ascii="Arial" w:hAnsi="Arial"/>
          <w:b/>
          <w:bCs w:val="0"/>
          <w:sz w:val="22"/>
          <w:szCs w:val="22"/>
        </w:rPr>
        <w:t>6.</w:t>
      </w:r>
      <w:r w:rsidR="004E5127" w:rsidRPr="004A7469">
        <w:rPr>
          <w:rFonts w:ascii="Arial" w:hAnsi="Arial"/>
          <w:b/>
          <w:bCs w:val="0"/>
          <w:sz w:val="22"/>
          <w:szCs w:val="22"/>
        </w:rPr>
        <w:t xml:space="preserve"> </w:t>
      </w:r>
      <w:r w:rsidRPr="004A7469">
        <w:rPr>
          <w:rFonts w:ascii="Arial" w:hAnsi="Arial"/>
          <w:b/>
          <w:bCs w:val="0"/>
          <w:sz w:val="22"/>
          <w:szCs w:val="22"/>
        </w:rPr>
        <w:t>AUTHORITY AND REVIEW CYCLE</w:t>
      </w:r>
    </w:p>
    <w:p w14:paraId="43A21777" w14:textId="77777777" w:rsidR="00A2223C" w:rsidRPr="004A7469" w:rsidRDefault="00A2223C" w:rsidP="00283B16">
      <w:pPr>
        <w:spacing w:after="0"/>
        <w:rPr>
          <w:rFonts w:ascii="Arial" w:hAnsi="Arial" w:cs="Arial"/>
          <w:sz w:val="22"/>
          <w:szCs w:val="22"/>
          <w:lang w:val="en-GB"/>
        </w:rPr>
      </w:pPr>
      <w:bookmarkStart w:id="0" w:name="_Hlk207098048"/>
      <w:r w:rsidRPr="004A7469">
        <w:rPr>
          <w:rFonts w:ascii="Arial" w:hAnsi="Arial" w:cs="Arial"/>
          <w:sz w:val="22"/>
          <w:szCs w:val="22"/>
          <w:lang w:val="en-GB"/>
        </w:rPr>
        <w:t xml:space="preserve">The Audit Committee is responsible for the implementation of this </w:t>
      </w:r>
      <w:r w:rsidR="00FA297B" w:rsidRPr="004A7469">
        <w:rPr>
          <w:rFonts w:ascii="Arial" w:hAnsi="Arial" w:cs="Arial"/>
          <w:sz w:val="22"/>
          <w:szCs w:val="22"/>
          <w:lang w:val="en-GB"/>
        </w:rPr>
        <w:t>procedure</w:t>
      </w:r>
      <w:r w:rsidRPr="004A7469">
        <w:rPr>
          <w:rFonts w:ascii="Arial" w:hAnsi="Arial" w:cs="Arial"/>
          <w:sz w:val="22"/>
          <w:szCs w:val="22"/>
          <w:lang w:val="en-GB"/>
        </w:rPr>
        <w:t>, which is subject to regular review.</w:t>
      </w:r>
    </w:p>
    <w:bookmarkEnd w:id="0"/>
    <w:p w14:paraId="3C6B1516" w14:textId="77777777" w:rsidR="00A2223C" w:rsidRPr="004A7469" w:rsidRDefault="00A2223C" w:rsidP="00A2223C">
      <w:pPr>
        <w:rPr>
          <w:rFonts w:ascii="Arial" w:hAnsi="Arial" w:cs="Arial"/>
          <w:sz w:val="22"/>
          <w:szCs w:val="22"/>
          <w:lang w:val="en-GB"/>
        </w:rPr>
      </w:pPr>
    </w:p>
    <w:p w14:paraId="7314B332" w14:textId="77777777" w:rsidR="000073E9" w:rsidRPr="004A7469" w:rsidRDefault="00F35544" w:rsidP="008652C9">
      <w:pPr>
        <w:pStyle w:val="Heading2"/>
        <w:numPr>
          <w:ilvl w:val="0"/>
          <w:numId w:val="0"/>
        </w:numPr>
        <w:rPr>
          <w:rFonts w:ascii="Arial" w:hAnsi="Arial"/>
          <w:b/>
          <w:sz w:val="18"/>
          <w:szCs w:val="18"/>
        </w:rPr>
      </w:pPr>
      <w:r w:rsidRPr="004A7469">
        <w:rPr>
          <w:rFonts w:ascii="Arial" w:hAnsi="Arial"/>
          <w:sz w:val="22"/>
          <w:szCs w:val="22"/>
        </w:rPr>
        <w:br w:type="page"/>
      </w:r>
      <w:r w:rsidR="000E7630" w:rsidRPr="004A7469">
        <w:rPr>
          <w:rFonts w:ascii="Arial" w:hAnsi="Arial"/>
          <w:b/>
          <w:sz w:val="18"/>
          <w:szCs w:val="18"/>
        </w:rPr>
        <w:lastRenderedPageBreak/>
        <w:t>APPENDIX 1</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1134"/>
        <w:gridCol w:w="1134"/>
      </w:tblGrid>
      <w:tr w:rsidR="008652C9" w:rsidRPr="004A7469" w14:paraId="64D0CAC9" w14:textId="77777777" w:rsidTr="00372B70">
        <w:trPr>
          <w:trHeight w:val="463"/>
        </w:trPr>
        <w:tc>
          <w:tcPr>
            <w:tcW w:w="8506" w:type="dxa"/>
            <w:shd w:val="clear" w:color="auto" w:fill="153D63"/>
          </w:tcPr>
          <w:p w14:paraId="7C2B8CEE" w14:textId="77777777" w:rsidR="008652C9" w:rsidRPr="004A7469" w:rsidRDefault="008652C9" w:rsidP="00372B70">
            <w:pPr>
              <w:autoSpaceDE w:val="0"/>
              <w:autoSpaceDN w:val="0"/>
              <w:adjustRightInd w:val="0"/>
              <w:spacing w:after="120"/>
              <w:rPr>
                <w:rFonts w:ascii="Arial" w:hAnsi="Arial" w:cs="Arial"/>
                <w:color w:val="FFFFFF"/>
                <w:sz w:val="18"/>
                <w:szCs w:val="18"/>
                <w:lang w:val="en-GB"/>
              </w:rPr>
            </w:pPr>
            <w:bookmarkStart w:id="1" w:name="_Hlk207182166"/>
            <w:r w:rsidRPr="004A7469">
              <w:rPr>
                <w:rFonts w:ascii="Arial" w:hAnsi="Arial" w:cs="Arial"/>
                <w:b/>
                <w:bCs/>
                <w:color w:val="FFFFFF"/>
                <w:sz w:val="18"/>
                <w:szCs w:val="18"/>
                <w:lang w:val="en-GB"/>
              </w:rPr>
              <w:t>Whitelist of a Permitted Audit-Related and Non-Audit related services</w:t>
            </w:r>
            <w:bookmarkEnd w:id="1"/>
          </w:p>
        </w:tc>
        <w:tc>
          <w:tcPr>
            <w:tcW w:w="1134" w:type="dxa"/>
            <w:shd w:val="clear" w:color="auto" w:fill="153D63"/>
          </w:tcPr>
          <w:p w14:paraId="2DCA8BC3" w14:textId="77777777" w:rsidR="008652C9" w:rsidRPr="004A7469" w:rsidRDefault="008652C9" w:rsidP="00372B70">
            <w:pPr>
              <w:autoSpaceDE w:val="0"/>
              <w:autoSpaceDN w:val="0"/>
              <w:adjustRightInd w:val="0"/>
              <w:spacing w:after="120"/>
              <w:jc w:val="center"/>
              <w:rPr>
                <w:rFonts w:ascii="Arial" w:hAnsi="Arial" w:cs="Arial"/>
                <w:color w:val="FFFFFF"/>
                <w:sz w:val="18"/>
                <w:szCs w:val="18"/>
                <w:lang w:val="en-GB"/>
              </w:rPr>
            </w:pPr>
            <w:r w:rsidRPr="004A7469">
              <w:rPr>
                <w:rFonts w:ascii="Arial" w:hAnsi="Arial" w:cs="Arial"/>
                <w:b/>
                <w:bCs/>
                <w:color w:val="FFFFFF"/>
                <w:sz w:val="18"/>
                <w:szCs w:val="18"/>
                <w:lang w:val="en-GB"/>
              </w:rPr>
              <w:t>Outside cap</w:t>
            </w:r>
          </w:p>
        </w:tc>
        <w:tc>
          <w:tcPr>
            <w:tcW w:w="1134" w:type="dxa"/>
            <w:shd w:val="clear" w:color="auto" w:fill="153D63"/>
          </w:tcPr>
          <w:p w14:paraId="4E6070B6" w14:textId="77777777" w:rsidR="008652C9" w:rsidRPr="004A7469" w:rsidRDefault="008652C9" w:rsidP="00372B70">
            <w:pPr>
              <w:autoSpaceDE w:val="0"/>
              <w:autoSpaceDN w:val="0"/>
              <w:adjustRightInd w:val="0"/>
              <w:spacing w:after="120"/>
              <w:jc w:val="center"/>
              <w:rPr>
                <w:rFonts w:ascii="Arial" w:hAnsi="Arial" w:cs="Arial"/>
                <w:color w:val="FFFFFF"/>
                <w:sz w:val="18"/>
                <w:szCs w:val="18"/>
                <w:lang w:val="en-GB"/>
              </w:rPr>
            </w:pPr>
            <w:r w:rsidRPr="004A7469">
              <w:rPr>
                <w:rFonts w:ascii="Arial" w:hAnsi="Arial" w:cs="Arial"/>
                <w:b/>
                <w:bCs/>
                <w:color w:val="FFFFFF"/>
                <w:sz w:val="18"/>
                <w:szCs w:val="18"/>
                <w:lang w:val="en-GB"/>
              </w:rPr>
              <w:t>Counts towards cap</w:t>
            </w:r>
          </w:p>
        </w:tc>
      </w:tr>
      <w:tr w:rsidR="008652C9" w:rsidRPr="004A7469" w14:paraId="718FF5DC" w14:textId="77777777" w:rsidTr="00372B70">
        <w:trPr>
          <w:trHeight w:val="833"/>
        </w:trPr>
        <w:tc>
          <w:tcPr>
            <w:tcW w:w="8506" w:type="dxa"/>
          </w:tcPr>
          <w:p w14:paraId="3900649A"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 xml:space="preserve">Reporting required by a competent authority or regulator under  law or regulation* for example: </w:t>
            </w:r>
          </w:p>
          <w:p w14:paraId="5F202AC8" w14:textId="77777777" w:rsidR="008652C9" w:rsidRPr="004A7469" w:rsidRDefault="008652C9" w:rsidP="00372B70">
            <w:pPr>
              <w:numPr>
                <w:ilvl w:val="0"/>
                <w:numId w:val="18"/>
              </w:numPr>
              <w:autoSpaceDE w:val="0"/>
              <w:autoSpaceDN w:val="0"/>
              <w:adjustRightInd w:val="0"/>
              <w:spacing w:after="0"/>
              <w:ind w:left="357" w:hanging="357"/>
              <w:jc w:val="both"/>
              <w:rPr>
                <w:rFonts w:ascii="Arial" w:hAnsi="Arial" w:cs="Arial"/>
                <w:sz w:val="16"/>
                <w:szCs w:val="16"/>
                <w:lang w:val="en-GB"/>
              </w:rPr>
            </w:pPr>
            <w:r w:rsidRPr="004A7469">
              <w:rPr>
                <w:rFonts w:ascii="Arial" w:hAnsi="Arial" w:cs="Arial"/>
                <w:sz w:val="16"/>
                <w:szCs w:val="16"/>
                <w:lang w:val="en-GB"/>
              </w:rPr>
              <w:t xml:space="preserve">Reporting to a regulator on client assets; </w:t>
            </w:r>
          </w:p>
          <w:p w14:paraId="70161564" w14:textId="77777777" w:rsidR="008652C9" w:rsidRPr="004A7469" w:rsidRDefault="008652C9" w:rsidP="00372B70">
            <w:pPr>
              <w:numPr>
                <w:ilvl w:val="0"/>
                <w:numId w:val="18"/>
              </w:numPr>
              <w:autoSpaceDE w:val="0"/>
              <w:autoSpaceDN w:val="0"/>
              <w:adjustRightInd w:val="0"/>
              <w:spacing w:after="0"/>
              <w:ind w:left="357" w:hanging="357"/>
              <w:jc w:val="both"/>
              <w:rPr>
                <w:rFonts w:ascii="Arial" w:hAnsi="Arial" w:cs="Arial"/>
                <w:sz w:val="16"/>
                <w:szCs w:val="16"/>
                <w:lang w:val="en-GB"/>
              </w:rPr>
            </w:pPr>
            <w:r w:rsidRPr="004A7469">
              <w:rPr>
                <w:rFonts w:ascii="Arial" w:hAnsi="Arial" w:cs="Arial"/>
                <w:sz w:val="16"/>
                <w:szCs w:val="16"/>
                <w:lang w:val="en-GB"/>
              </w:rPr>
              <w:t>In relation to entities regulated under the Financial Services and Markets Act 2000 (FSMA), reports under s166 and s340 of FSMA;</w:t>
            </w:r>
          </w:p>
          <w:p w14:paraId="1A3F9C42" w14:textId="77777777" w:rsidR="008652C9" w:rsidRPr="004A7469" w:rsidRDefault="008652C9" w:rsidP="00372B70">
            <w:pPr>
              <w:numPr>
                <w:ilvl w:val="0"/>
                <w:numId w:val="18"/>
              </w:numPr>
              <w:autoSpaceDE w:val="0"/>
              <w:autoSpaceDN w:val="0"/>
              <w:adjustRightInd w:val="0"/>
              <w:spacing w:after="0"/>
              <w:ind w:left="357" w:hanging="357"/>
              <w:jc w:val="both"/>
              <w:rPr>
                <w:rFonts w:ascii="Arial" w:hAnsi="Arial" w:cs="Arial"/>
                <w:sz w:val="16"/>
                <w:szCs w:val="16"/>
                <w:lang w:val="en-GB"/>
              </w:rPr>
            </w:pPr>
            <w:r w:rsidRPr="004A7469">
              <w:rPr>
                <w:rFonts w:ascii="Arial" w:hAnsi="Arial" w:cs="Arial"/>
                <w:sz w:val="16"/>
                <w:szCs w:val="16"/>
                <w:lang w:val="en-GB"/>
              </w:rPr>
              <w:t>Reporting to a regulator on regulatory financial statements;</w:t>
            </w:r>
          </w:p>
          <w:p w14:paraId="155A5E6E" w14:textId="77777777" w:rsidR="008652C9" w:rsidRPr="004A7469" w:rsidRDefault="008652C9" w:rsidP="00372B70">
            <w:pPr>
              <w:numPr>
                <w:ilvl w:val="0"/>
                <w:numId w:val="18"/>
              </w:numPr>
              <w:autoSpaceDE w:val="0"/>
              <w:autoSpaceDN w:val="0"/>
              <w:adjustRightInd w:val="0"/>
              <w:spacing w:after="120"/>
              <w:jc w:val="both"/>
              <w:rPr>
                <w:rFonts w:ascii="Arial" w:hAnsi="Arial" w:cs="Arial"/>
                <w:color w:val="000000"/>
                <w:sz w:val="16"/>
                <w:szCs w:val="16"/>
                <w:lang w:val="en-GB"/>
              </w:rPr>
            </w:pPr>
            <w:r w:rsidRPr="004A7469">
              <w:rPr>
                <w:rFonts w:ascii="Arial" w:hAnsi="Arial" w:cs="Arial"/>
                <w:sz w:val="16"/>
                <w:szCs w:val="16"/>
                <w:lang w:val="en-GB"/>
              </w:rPr>
              <w:t>Reporting on a Solvency and Financial Condition Report under Solvency II.</w:t>
            </w:r>
          </w:p>
        </w:tc>
        <w:tc>
          <w:tcPr>
            <w:tcW w:w="1134" w:type="dxa"/>
          </w:tcPr>
          <w:p w14:paraId="46E55C41"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c>
          <w:tcPr>
            <w:tcW w:w="1134" w:type="dxa"/>
          </w:tcPr>
          <w:p w14:paraId="68110F97"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r>
      <w:tr w:rsidR="008652C9" w:rsidRPr="004A7469" w14:paraId="3F7A1821" w14:textId="77777777" w:rsidTr="00372B70">
        <w:trPr>
          <w:trHeight w:val="351"/>
        </w:trPr>
        <w:tc>
          <w:tcPr>
            <w:tcW w:w="8506" w:type="dxa"/>
          </w:tcPr>
          <w:p w14:paraId="3AD7E93D"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In the case of a controlled undertaking incorporated and based in a third country, reporting required by law or regulation in that jurisdiction where the auditor is required to undertake that engagement.</w:t>
            </w:r>
          </w:p>
        </w:tc>
        <w:tc>
          <w:tcPr>
            <w:tcW w:w="1134" w:type="dxa"/>
          </w:tcPr>
          <w:p w14:paraId="081BADCB"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c>
          <w:tcPr>
            <w:tcW w:w="1134" w:type="dxa"/>
          </w:tcPr>
          <w:p w14:paraId="28E6F60D"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r>
      <w:tr w:rsidR="008652C9" w:rsidRPr="004A7469" w14:paraId="55A209A3" w14:textId="77777777" w:rsidTr="00372B70">
        <w:trPr>
          <w:trHeight w:val="351"/>
        </w:trPr>
        <w:tc>
          <w:tcPr>
            <w:tcW w:w="8506" w:type="dxa"/>
          </w:tcPr>
          <w:p w14:paraId="49FC87CC"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Reports, required by or supplied to competent authorities/regulators supervising the audited entity, where the authority/regulator has either specified the auditor to provide the service or identified to the entity that the auditor would be an appropriate choice for service provider.</w:t>
            </w:r>
          </w:p>
        </w:tc>
        <w:tc>
          <w:tcPr>
            <w:tcW w:w="1134" w:type="dxa"/>
          </w:tcPr>
          <w:p w14:paraId="77F286D5"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c>
          <w:tcPr>
            <w:tcW w:w="1134" w:type="dxa"/>
          </w:tcPr>
          <w:p w14:paraId="2E2B7E89"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r>
      <w:tr w:rsidR="008652C9" w:rsidRPr="004A7469" w14:paraId="5A3EC9DA" w14:textId="77777777" w:rsidTr="00372B70">
        <w:trPr>
          <w:trHeight w:val="351"/>
        </w:trPr>
        <w:tc>
          <w:tcPr>
            <w:tcW w:w="8506" w:type="dxa"/>
          </w:tcPr>
          <w:p w14:paraId="44589113"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 xml:space="preserve">Services which support the entity in fulfilling an obligation required by UK law or regulation, including listing requirements where: </w:t>
            </w:r>
          </w:p>
          <w:p w14:paraId="14C25E19" w14:textId="77777777" w:rsidR="008652C9" w:rsidRPr="004A7469" w:rsidRDefault="008652C9" w:rsidP="00372B70">
            <w:pPr>
              <w:numPr>
                <w:ilvl w:val="0"/>
                <w:numId w:val="19"/>
              </w:numPr>
              <w:autoSpaceDE w:val="0"/>
              <w:autoSpaceDN w:val="0"/>
              <w:adjustRightInd w:val="0"/>
              <w:spacing w:after="0"/>
              <w:ind w:left="357" w:hanging="357"/>
              <w:jc w:val="both"/>
              <w:rPr>
                <w:rFonts w:ascii="Arial" w:hAnsi="Arial" w:cs="Arial"/>
                <w:color w:val="000000"/>
                <w:sz w:val="16"/>
                <w:szCs w:val="16"/>
                <w:lang w:val="en-GB"/>
              </w:rPr>
            </w:pPr>
            <w:r w:rsidRPr="004A7469">
              <w:rPr>
                <w:rFonts w:ascii="Arial" w:hAnsi="Arial" w:cs="Arial"/>
                <w:color w:val="000000"/>
                <w:sz w:val="16"/>
                <w:szCs w:val="16"/>
                <w:lang w:val="en-GB"/>
              </w:rPr>
              <w:t xml:space="preserve">the provision of such services is time critical; </w:t>
            </w:r>
          </w:p>
          <w:p w14:paraId="7FA09089" w14:textId="77777777" w:rsidR="008652C9" w:rsidRPr="004A7469" w:rsidRDefault="008652C9" w:rsidP="00372B70">
            <w:pPr>
              <w:numPr>
                <w:ilvl w:val="0"/>
                <w:numId w:val="19"/>
              </w:numPr>
              <w:autoSpaceDE w:val="0"/>
              <w:autoSpaceDN w:val="0"/>
              <w:adjustRightInd w:val="0"/>
              <w:spacing w:after="0"/>
              <w:ind w:left="357" w:hanging="357"/>
              <w:jc w:val="both"/>
              <w:rPr>
                <w:rFonts w:ascii="Arial" w:hAnsi="Arial" w:cs="Arial"/>
                <w:color w:val="000000"/>
                <w:sz w:val="16"/>
                <w:szCs w:val="16"/>
                <w:lang w:val="en-GB"/>
              </w:rPr>
            </w:pPr>
            <w:r w:rsidRPr="004A7469">
              <w:rPr>
                <w:rFonts w:ascii="Arial" w:hAnsi="Arial" w:cs="Arial"/>
                <w:color w:val="000000"/>
                <w:sz w:val="16"/>
                <w:szCs w:val="16"/>
                <w:lang w:val="en-GB"/>
              </w:rPr>
              <w:t xml:space="preserve">the subject matter of the engagement is price sensitive; and </w:t>
            </w:r>
          </w:p>
          <w:p w14:paraId="4DD5E575" w14:textId="77777777" w:rsidR="008652C9" w:rsidRPr="004A7469" w:rsidRDefault="008652C9" w:rsidP="00372B70">
            <w:pPr>
              <w:numPr>
                <w:ilvl w:val="0"/>
                <w:numId w:val="19"/>
              </w:num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it is probable that an objective, reasonable and informed third party would conclude that the understanding of the entity obtained by the auditor for the audit of the financial statements is relevant to the service, and where the nature of the service would not compromise independence.</w:t>
            </w:r>
          </w:p>
        </w:tc>
        <w:tc>
          <w:tcPr>
            <w:tcW w:w="1134" w:type="dxa"/>
          </w:tcPr>
          <w:p w14:paraId="21D0A5ED"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c>
          <w:tcPr>
            <w:tcW w:w="1134" w:type="dxa"/>
          </w:tcPr>
          <w:p w14:paraId="5C7A4891"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r>
      <w:tr w:rsidR="008652C9" w:rsidRPr="004A7469" w14:paraId="59BB1225" w14:textId="77777777" w:rsidTr="00372B70">
        <w:trPr>
          <w:trHeight w:val="351"/>
        </w:trPr>
        <w:tc>
          <w:tcPr>
            <w:tcW w:w="8506" w:type="dxa"/>
          </w:tcPr>
          <w:p w14:paraId="35D28E9B"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Reviews of interim financial information; and providing verification of interim profits not otherwise required by law or regulation.</w:t>
            </w:r>
          </w:p>
        </w:tc>
        <w:tc>
          <w:tcPr>
            <w:tcW w:w="1134" w:type="dxa"/>
          </w:tcPr>
          <w:p w14:paraId="69B5A50D"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7889CE44"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r>
      <w:tr w:rsidR="008652C9" w:rsidRPr="004A7469" w14:paraId="1856CBA9" w14:textId="77777777" w:rsidTr="00372B70">
        <w:trPr>
          <w:trHeight w:val="351"/>
        </w:trPr>
        <w:tc>
          <w:tcPr>
            <w:tcW w:w="8506" w:type="dxa"/>
          </w:tcPr>
          <w:p w14:paraId="78B3F0A0"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Where not otherwise required by law or regulation, non</w:t>
            </w:r>
            <w:r w:rsidRPr="004A7469">
              <w:rPr>
                <w:rFonts w:ascii="Cambria Math" w:hAnsi="Cambria Math" w:cs="Cambria Math"/>
                <w:color w:val="000000"/>
                <w:sz w:val="16"/>
                <w:szCs w:val="16"/>
                <w:lang w:val="en-GB"/>
              </w:rPr>
              <w:t>‑</w:t>
            </w:r>
            <w:r w:rsidRPr="004A7469">
              <w:rPr>
                <w:rFonts w:ascii="Arial" w:hAnsi="Arial" w:cs="Arial"/>
                <w:color w:val="000000"/>
                <w:sz w:val="16"/>
                <w:szCs w:val="16"/>
                <w:lang w:val="en-GB"/>
              </w:rPr>
              <w:t>audit and additional services, as defined in this Ethical Standard provided as auditor of the entity, or as reporting accountant, in relation to information of the audited entity for which it is probable that an objective, reasonable and informed third party would conclude that the understanding of the entity obtained by the auditor is relevant to the service, and where the nature of the service would not compromise independence.</w:t>
            </w:r>
          </w:p>
        </w:tc>
        <w:tc>
          <w:tcPr>
            <w:tcW w:w="1134" w:type="dxa"/>
          </w:tcPr>
          <w:p w14:paraId="2A232C80"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226F0670"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r>
      <w:tr w:rsidR="008652C9" w:rsidRPr="004A7469" w14:paraId="3AA42EEE" w14:textId="77777777" w:rsidTr="00372B70">
        <w:trPr>
          <w:trHeight w:val="351"/>
        </w:trPr>
        <w:tc>
          <w:tcPr>
            <w:tcW w:w="8506" w:type="dxa"/>
          </w:tcPr>
          <w:p w14:paraId="54CFC51F"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Extended audit or assurance work that is authorised by those charged with governance performed on financial or performance information and/or financial or operational controls, in an entity relevant to an engagement or a third</w:t>
            </w:r>
            <w:r w:rsidRPr="004A7469">
              <w:rPr>
                <w:rFonts w:ascii="Arial" w:hAnsi="Arial" w:cs="Arial"/>
                <w:color w:val="000000"/>
                <w:sz w:val="16"/>
                <w:szCs w:val="16"/>
                <w:lang w:val="en-GB"/>
              </w:rPr>
              <w:noBreakHyphen/>
              <w:t xml:space="preserve">party service provider, where this work is closely linked with the audit work. </w:t>
            </w:r>
          </w:p>
        </w:tc>
        <w:tc>
          <w:tcPr>
            <w:tcW w:w="1134" w:type="dxa"/>
          </w:tcPr>
          <w:p w14:paraId="41CA0EFA"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7FAD690E"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r>
      <w:tr w:rsidR="008652C9" w:rsidRPr="004A7469" w14:paraId="2B8718E0" w14:textId="77777777" w:rsidTr="00372B70">
        <w:trPr>
          <w:trHeight w:val="351"/>
        </w:trPr>
        <w:tc>
          <w:tcPr>
            <w:tcW w:w="8506" w:type="dxa"/>
          </w:tcPr>
          <w:p w14:paraId="47A92937"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Reporting on the iXBRL tagging of financial statements in accordance with the European Single Electronic Format for annual financial reports. In situations involving a dual listed entity where iXBRL tagging assurance is required by the laws and regulations of any other jurisdiction, then the part of the fee relating to such any other jurisdiction is not subject to the fee cap.</w:t>
            </w:r>
          </w:p>
        </w:tc>
        <w:tc>
          <w:tcPr>
            <w:tcW w:w="1134" w:type="dxa"/>
          </w:tcPr>
          <w:p w14:paraId="3F9F0B22"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537ADD42" w14:textId="77777777" w:rsidR="008652C9" w:rsidRPr="004A7469" w:rsidRDefault="008652C9" w:rsidP="00372B70">
            <w:pPr>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r>
      <w:tr w:rsidR="008652C9" w:rsidRPr="004A7469" w14:paraId="155F7600" w14:textId="77777777" w:rsidTr="00372B70">
        <w:trPr>
          <w:trHeight w:val="351"/>
        </w:trPr>
        <w:tc>
          <w:tcPr>
            <w:tcW w:w="8506" w:type="dxa"/>
          </w:tcPr>
          <w:p w14:paraId="78D2126D"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Additional assurance work or agreed upon procedures authorised by those charged with governance performed on material included within or referenced from the annual report</w:t>
            </w:r>
            <w:r w:rsidRPr="004A7469">
              <w:rPr>
                <w:rFonts w:ascii="Arial" w:hAnsi="Arial" w:cs="Arial"/>
                <w:sz w:val="16"/>
                <w:szCs w:val="16"/>
              </w:rPr>
              <w:t xml:space="preserve"> </w:t>
            </w:r>
            <w:r w:rsidRPr="004A7469">
              <w:rPr>
                <w:rFonts w:ascii="Arial" w:hAnsi="Arial" w:cs="Arial"/>
                <w:color w:val="000000"/>
                <w:sz w:val="16"/>
                <w:szCs w:val="16"/>
                <w:lang w:val="en-GB"/>
              </w:rPr>
              <w:t>of an entity relevant to an engagement.</w:t>
            </w:r>
          </w:p>
        </w:tc>
        <w:tc>
          <w:tcPr>
            <w:tcW w:w="1134" w:type="dxa"/>
          </w:tcPr>
          <w:p w14:paraId="2E19E39F"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323E26B3"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r>
      <w:tr w:rsidR="008652C9" w:rsidRPr="004A7469" w14:paraId="69A040F4" w14:textId="77777777" w:rsidTr="00372B70">
        <w:trPr>
          <w:trHeight w:val="351"/>
        </w:trPr>
        <w:tc>
          <w:tcPr>
            <w:tcW w:w="8506" w:type="dxa"/>
          </w:tcPr>
          <w:p w14:paraId="0A3E90BB"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Reporting on government grants.</w:t>
            </w:r>
          </w:p>
        </w:tc>
        <w:tc>
          <w:tcPr>
            <w:tcW w:w="1134" w:type="dxa"/>
          </w:tcPr>
          <w:p w14:paraId="1D43084A"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2FA1B4C2"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r>
      <w:tr w:rsidR="008652C9" w:rsidRPr="004A7469" w14:paraId="585A012E" w14:textId="77777777" w:rsidTr="00372B70">
        <w:trPr>
          <w:trHeight w:val="351"/>
        </w:trPr>
        <w:tc>
          <w:tcPr>
            <w:tcW w:w="8506" w:type="dxa"/>
          </w:tcPr>
          <w:p w14:paraId="43E8BF9C"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Reporting on covenant or loan agreements which require independent verification, and other reporting to third parties with whom the entity relevant to an engagement has a business relationship in accordance with Appendix C of this Ethical Standard.</w:t>
            </w:r>
          </w:p>
        </w:tc>
        <w:tc>
          <w:tcPr>
            <w:tcW w:w="1134" w:type="dxa"/>
          </w:tcPr>
          <w:p w14:paraId="530B9DE2"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7FB4DB9D" w14:textId="77777777" w:rsidR="008652C9" w:rsidRPr="004A7469" w:rsidRDefault="008652C9" w:rsidP="00372B70">
            <w:pPr>
              <w:spacing w:after="120"/>
              <w:jc w:val="center"/>
              <w:rPr>
                <w:rFonts w:ascii="Arial" w:hAnsi="Arial" w:cs="Arial"/>
                <w:sz w:val="16"/>
                <w:szCs w:val="16"/>
                <w:lang w:val="en-GB"/>
              </w:rPr>
            </w:pPr>
            <w:r w:rsidRPr="004A7469">
              <w:rPr>
                <w:rFonts w:ascii="Arial" w:hAnsi="Arial" w:cs="Arial"/>
                <w:color w:val="000000"/>
                <w:sz w:val="16"/>
                <w:szCs w:val="16"/>
                <w:lang w:val="en-GB"/>
              </w:rPr>
              <w:t>Yes</w:t>
            </w:r>
          </w:p>
        </w:tc>
      </w:tr>
      <w:tr w:rsidR="008652C9" w:rsidRPr="004A7469" w14:paraId="5EFF3B4A" w14:textId="77777777" w:rsidTr="00372B70">
        <w:trPr>
          <w:trHeight w:val="351"/>
        </w:trPr>
        <w:tc>
          <w:tcPr>
            <w:tcW w:w="8506" w:type="dxa"/>
          </w:tcPr>
          <w:p w14:paraId="0FEC3853"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sz w:val="16"/>
                <w:szCs w:val="16"/>
              </w:rPr>
              <w:t>Services which have been the subject of an application to the Competent Authority in accordance with Regulation 79 of The Statutory Auditors and Third Country Auditors (Amendment) (EU Exit) Regulations 2019 (SI 2019/177).</w:t>
            </w:r>
          </w:p>
        </w:tc>
        <w:tc>
          <w:tcPr>
            <w:tcW w:w="1134" w:type="dxa"/>
          </w:tcPr>
          <w:p w14:paraId="7439903B"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5F5F1D98" w14:textId="77777777" w:rsidR="008652C9" w:rsidRPr="004A7469" w:rsidRDefault="008652C9" w:rsidP="00372B70">
            <w:pPr>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r>
      <w:tr w:rsidR="008652C9" w:rsidRPr="004A7469" w14:paraId="7E733850" w14:textId="77777777" w:rsidTr="00372B70">
        <w:trPr>
          <w:trHeight w:val="351"/>
        </w:trPr>
        <w:tc>
          <w:tcPr>
            <w:tcW w:w="8506" w:type="dxa"/>
          </w:tcPr>
          <w:p w14:paraId="00927561" w14:textId="77777777" w:rsidR="008652C9" w:rsidRPr="004A746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Generic subscriptions providing factual updates of changes to applicable law, regulation or accounting and auditing standards.</w:t>
            </w:r>
          </w:p>
        </w:tc>
        <w:tc>
          <w:tcPr>
            <w:tcW w:w="1134" w:type="dxa"/>
          </w:tcPr>
          <w:p w14:paraId="0DADC882"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p>
        </w:tc>
        <w:tc>
          <w:tcPr>
            <w:tcW w:w="1134" w:type="dxa"/>
          </w:tcPr>
          <w:p w14:paraId="5EF1D487" w14:textId="77777777" w:rsidR="008652C9" w:rsidRPr="004A7469" w:rsidRDefault="008652C9" w:rsidP="00372B70">
            <w:pPr>
              <w:autoSpaceDE w:val="0"/>
              <w:autoSpaceDN w:val="0"/>
              <w:adjustRightInd w:val="0"/>
              <w:spacing w:after="120"/>
              <w:jc w:val="center"/>
              <w:rPr>
                <w:rFonts w:ascii="Arial" w:hAnsi="Arial" w:cs="Arial"/>
                <w:color w:val="000000"/>
                <w:sz w:val="16"/>
                <w:szCs w:val="16"/>
                <w:lang w:val="en-GB"/>
              </w:rPr>
            </w:pPr>
            <w:r w:rsidRPr="004A7469">
              <w:rPr>
                <w:rFonts w:ascii="Arial" w:hAnsi="Arial" w:cs="Arial"/>
                <w:color w:val="000000"/>
                <w:sz w:val="16"/>
                <w:szCs w:val="16"/>
                <w:lang w:val="en-GB"/>
              </w:rPr>
              <w:t>Yes</w:t>
            </w:r>
          </w:p>
        </w:tc>
      </w:tr>
      <w:tr w:rsidR="008652C9" w:rsidRPr="008652C9" w14:paraId="4693E563" w14:textId="77777777" w:rsidTr="00372B70">
        <w:trPr>
          <w:trHeight w:val="351"/>
        </w:trPr>
        <w:tc>
          <w:tcPr>
            <w:tcW w:w="10774" w:type="dxa"/>
            <w:gridSpan w:val="3"/>
          </w:tcPr>
          <w:p w14:paraId="25444190" w14:textId="77777777" w:rsidR="008652C9" w:rsidRPr="008652C9" w:rsidRDefault="008652C9" w:rsidP="00372B70">
            <w:pPr>
              <w:autoSpaceDE w:val="0"/>
              <w:autoSpaceDN w:val="0"/>
              <w:adjustRightInd w:val="0"/>
              <w:spacing w:after="120"/>
              <w:jc w:val="both"/>
              <w:rPr>
                <w:rFonts w:ascii="Arial" w:hAnsi="Arial" w:cs="Arial"/>
                <w:color w:val="000000"/>
                <w:sz w:val="16"/>
                <w:szCs w:val="16"/>
                <w:lang w:val="en-GB"/>
              </w:rPr>
            </w:pPr>
            <w:r w:rsidRPr="004A7469">
              <w:rPr>
                <w:rFonts w:ascii="Arial" w:hAnsi="Arial" w:cs="Arial"/>
                <w:color w:val="000000"/>
                <w:sz w:val="16"/>
                <w:szCs w:val="16"/>
                <w:lang w:val="en-GB"/>
              </w:rPr>
              <w:t>* It is not always clear which services fall within the exemption for services required by EU or national law. It is worth bearing in mind that simply because work may be advised or required by an industry regulator does not mean it is pursuant to legislation – it will depend whether the industry regulator has statutory rights to require the work. Early discussion with the external auditor is recommended for such services in order to avoid potential problems.</w:t>
            </w:r>
          </w:p>
        </w:tc>
      </w:tr>
    </w:tbl>
    <w:p w14:paraId="32D3EA05" w14:textId="77777777" w:rsidR="008652C9" w:rsidRPr="008652C9" w:rsidRDefault="008652C9" w:rsidP="008652C9">
      <w:pPr>
        <w:rPr>
          <w:lang w:val="en-GB"/>
        </w:rPr>
      </w:pPr>
    </w:p>
    <w:sectPr w:rsidR="008652C9" w:rsidRPr="008652C9" w:rsidSect="00AA0F00">
      <w:headerReference w:type="even" r:id="rId12"/>
      <w:headerReference w:type="default" r:id="rId13"/>
      <w:footerReference w:type="default" r:id="rId14"/>
      <w:headerReference w:type="first" r:id="rId15"/>
      <w:pgSz w:w="11906" w:h="16838" w:code="9"/>
      <w:pgMar w:top="851" w:right="707" w:bottom="1134" w:left="709"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672F" w14:textId="77777777" w:rsidR="00346A48" w:rsidRDefault="00346A48">
      <w:r>
        <w:separator/>
      </w:r>
    </w:p>
  </w:endnote>
  <w:endnote w:type="continuationSeparator" w:id="0">
    <w:p w14:paraId="68F1DD2E" w14:textId="77777777" w:rsidR="00346A48" w:rsidRDefault="0034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5 Light">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28" w:type="dxa"/>
        <w:bottom w:w="28" w:type="dxa"/>
      </w:tblCellMar>
      <w:tblLook w:val="0000" w:firstRow="0" w:lastRow="0" w:firstColumn="0" w:lastColumn="0" w:noHBand="0" w:noVBand="0"/>
    </w:tblPr>
    <w:tblGrid>
      <w:gridCol w:w="3496"/>
      <w:gridCol w:w="3497"/>
      <w:gridCol w:w="3497"/>
    </w:tblGrid>
    <w:tr w:rsidR="00991992" w:rsidRPr="00A22725" w14:paraId="227E1F3C" w14:textId="77777777" w:rsidTr="00991992">
      <w:trPr>
        <w:cantSplit/>
        <w:jc w:val="center"/>
      </w:trPr>
      <w:tc>
        <w:tcPr>
          <w:tcW w:w="1666" w:type="pct"/>
          <w:vAlign w:val="center"/>
        </w:tcPr>
        <w:p w14:paraId="3F5D2311" w14:textId="77777777" w:rsidR="00991992" w:rsidRPr="00A22725" w:rsidRDefault="00991992" w:rsidP="00991992">
          <w:pPr>
            <w:pStyle w:val="Footer"/>
          </w:pPr>
        </w:p>
      </w:tc>
      <w:tc>
        <w:tcPr>
          <w:tcW w:w="1667" w:type="pct"/>
          <w:vAlign w:val="center"/>
        </w:tcPr>
        <w:p w14:paraId="7317294D" w14:textId="77777777" w:rsidR="00991992" w:rsidRPr="00A22725" w:rsidRDefault="00991992" w:rsidP="00991992">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5285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52858">
            <w:rPr>
              <w:rStyle w:val="PageNumber"/>
              <w:noProof/>
            </w:rPr>
            <w:t>4</w:t>
          </w:r>
          <w:r>
            <w:rPr>
              <w:rStyle w:val="PageNumber"/>
            </w:rPr>
            <w:fldChar w:fldCharType="end"/>
          </w:r>
        </w:p>
      </w:tc>
      <w:tc>
        <w:tcPr>
          <w:tcW w:w="1667" w:type="pct"/>
          <w:vAlign w:val="center"/>
        </w:tcPr>
        <w:p w14:paraId="5A985EEA" w14:textId="77777777" w:rsidR="00991992" w:rsidRPr="00A22725" w:rsidRDefault="00991992" w:rsidP="00991992">
          <w:pPr>
            <w:pStyle w:val="Footer"/>
            <w:jc w:val="right"/>
          </w:pPr>
        </w:p>
      </w:tc>
    </w:tr>
    <w:tr w:rsidR="00991992" w:rsidRPr="00A22725" w14:paraId="5A48E5B4" w14:textId="77777777" w:rsidTr="00991992">
      <w:trPr>
        <w:cantSplit/>
        <w:trHeight w:val="1079"/>
        <w:jc w:val="center"/>
      </w:trPr>
      <w:tc>
        <w:tcPr>
          <w:tcW w:w="1666" w:type="pct"/>
          <w:vAlign w:val="center"/>
        </w:tcPr>
        <w:p w14:paraId="5B810DAC" w14:textId="77777777" w:rsidR="00991992" w:rsidRDefault="00991992" w:rsidP="00991992">
          <w:pPr>
            <w:pStyle w:val="Footer"/>
          </w:pPr>
        </w:p>
      </w:tc>
      <w:tc>
        <w:tcPr>
          <w:tcW w:w="1667" w:type="pct"/>
          <w:vAlign w:val="center"/>
        </w:tcPr>
        <w:p w14:paraId="00F66744" w14:textId="77777777" w:rsidR="00991992" w:rsidRPr="00991992" w:rsidRDefault="00991992" w:rsidP="00991992">
          <w:pPr>
            <w:pStyle w:val="Footer"/>
            <w:tabs>
              <w:tab w:val="center" w:pos="4500"/>
              <w:tab w:val="left" w:pos="4860"/>
              <w:tab w:val="left" w:pos="8100"/>
            </w:tabs>
            <w:jc w:val="center"/>
            <w:rPr>
              <w:color w:val="808080"/>
              <w:sz w:val="18"/>
              <w:szCs w:val="18"/>
            </w:rPr>
          </w:pPr>
          <w:r w:rsidRPr="00346D38">
            <w:rPr>
              <w:sz w:val="20"/>
              <w:szCs w:val="20"/>
            </w:rPr>
            <w:t xml:space="preserve">Uncontrolled if printed </w:t>
          </w:r>
          <w:r w:rsidRPr="00346D38">
            <w:rPr>
              <w:sz w:val="20"/>
              <w:szCs w:val="20"/>
            </w:rPr>
            <w:br/>
          </w:r>
          <w:r w:rsidRPr="00AD51CF">
            <w:rPr>
              <w:color w:val="808080"/>
              <w:sz w:val="18"/>
              <w:szCs w:val="18"/>
            </w:rPr>
            <w:t>SSE Doc</w:t>
          </w:r>
          <w:r>
            <w:rPr>
              <w:color w:val="808080"/>
              <w:sz w:val="18"/>
              <w:szCs w:val="18"/>
            </w:rPr>
            <w:t>ument Template FO-COR-014</w:t>
          </w:r>
        </w:p>
      </w:tc>
      <w:tc>
        <w:tcPr>
          <w:tcW w:w="1667" w:type="pct"/>
          <w:vAlign w:val="center"/>
        </w:tcPr>
        <w:p w14:paraId="07E43EC6" w14:textId="4EF2E82E" w:rsidR="00991992" w:rsidRDefault="002C707D" w:rsidP="00991992">
          <w:pPr>
            <w:pStyle w:val="Footer"/>
            <w:jc w:val="right"/>
            <w:rPr>
              <w:rStyle w:val="PageNumber"/>
            </w:rPr>
          </w:pPr>
          <w:r>
            <w:rPr>
              <w:noProof/>
            </w:rPr>
            <w:drawing>
              <wp:inline distT="0" distB="0" distL="0" distR="0" wp14:anchorId="68C6B055" wp14:editId="3AB50E50">
                <wp:extent cx="895350" cy="428625"/>
                <wp:effectExtent l="0" t="0" r="0" b="0"/>
                <wp:docPr id="1" name="Picture 1" descr="SSE pl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 plc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28625"/>
                        </a:xfrm>
                        <a:prstGeom prst="rect">
                          <a:avLst/>
                        </a:prstGeom>
                        <a:noFill/>
                        <a:ln>
                          <a:noFill/>
                        </a:ln>
                      </pic:spPr>
                    </pic:pic>
                  </a:graphicData>
                </a:graphic>
              </wp:inline>
            </w:drawing>
          </w:r>
        </w:p>
      </w:tc>
    </w:tr>
  </w:tbl>
  <w:p w14:paraId="39A12370" w14:textId="77777777" w:rsidR="00991992" w:rsidRPr="00916D3F" w:rsidRDefault="00991992" w:rsidP="00991992">
    <w:pPr>
      <w:pStyle w:val="Footer"/>
      <w:tabs>
        <w:tab w:val="center" w:pos="4500"/>
        <w:tab w:val="left" w:pos="4860"/>
        <w:tab w:val="left" w:pos="81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2373" w14:textId="77777777" w:rsidR="00346A48" w:rsidRDefault="00346A48">
      <w:r>
        <w:separator/>
      </w:r>
    </w:p>
  </w:footnote>
  <w:footnote w:type="continuationSeparator" w:id="0">
    <w:p w14:paraId="47C49D24" w14:textId="77777777" w:rsidR="00346A48" w:rsidRDefault="00346A48">
      <w:r>
        <w:continuationSeparator/>
      </w:r>
    </w:p>
  </w:footnote>
  <w:footnote w:id="1">
    <w:p w14:paraId="29679CD3" w14:textId="664406FE" w:rsidR="008652C9" w:rsidRPr="00930520" w:rsidRDefault="008652C9" w:rsidP="002C707D">
      <w:pPr>
        <w:pStyle w:val="FootnoteText"/>
        <w:spacing w:after="0"/>
        <w:jc w:val="both"/>
        <w:rPr>
          <w:sz w:val="16"/>
          <w:szCs w:val="16"/>
        </w:rPr>
      </w:pPr>
      <w:r w:rsidRPr="00930520">
        <w:rPr>
          <w:rStyle w:val="FootnoteReference"/>
          <w:sz w:val="16"/>
          <w:szCs w:val="16"/>
        </w:rPr>
        <w:footnoteRef/>
      </w:r>
      <w:r w:rsidRPr="00930520">
        <w:rPr>
          <w:b/>
          <w:bCs/>
          <w:sz w:val="16"/>
          <w:szCs w:val="16"/>
        </w:rPr>
        <w:t>Audit related services</w:t>
      </w:r>
      <w:r w:rsidRPr="00930520">
        <w:rPr>
          <w:sz w:val="16"/>
          <w:szCs w:val="16"/>
        </w:rPr>
        <w:t>. Non-audit services specified in the FRC’s Ethical Standard that are largely carried out by members of the audit engagement team. The work involved is closely related to the work performed in the audit. The threats to auditor independence may be ‘clearly insignificant’; consequently, safeguards may not need to be applied</w:t>
      </w:r>
      <w:r w:rsidR="002C707D" w:rsidRPr="00930520">
        <w:rPr>
          <w:sz w:val="16"/>
          <w:szCs w:val="16"/>
        </w:rPr>
        <w:t>. Such services provided to public interest entities, other than those required by law or regulation, are still subject to the 70% cap and still require approval by the audit committee</w:t>
      </w:r>
    </w:p>
  </w:footnote>
  <w:footnote w:id="2">
    <w:p w14:paraId="06F80C5E" w14:textId="77777777" w:rsidR="002D2CB5" w:rsidRPr="002D2CB5" w:rsidRDefault="002D2CB5" w:rsidP="002D2CB5">
      <w:pPr>
        <w:pStyle w:val="FootnoteText"/>
        <w:rPr>
          <w:lang w:val="en-GB"/>
        </w:rPr>
      </w:pPr>
      <w:r w:rsidRPr="00930520">
        <w:rPr>
          <w:rStyle w:val="FootnoteReference"/>
        </w:rPr>
        <w:footnoteRef/>
      </w:r>
      <w:r w:rsidRPr="00930520">
        <w:rPr>
          <w:sz w:val="16"/>
          <w:szCs w:val="16"/>
        </w:rPr>
        <w:t xml:space="preserve"> </w:t>
      </w:r>
      <w:r w:rsidRPr="00930520">
        <w:rPr>
          <w:b/>
          <w:bCs/>
          <w:sz w:val="16"/>
          <w:szCs w:val="16"/>
        </w:rPr>
        <w:t>Non-audit related services.</w:t>
      </w:r>
      <w:r w:rsidRPr="00930520">
        <w:rPr>
          <w:sz w:val="16"/>
          <w:szCs w:val="16"/>
        </w:rPr>
        <w:t xml:space="preserve"> These are services other than ‘audit related services’ for which the </w:t>
      </w:r>
      <w:r w:rsidR="008652C9" w:rsidRPr="00930520">
        <w:rPr>
          <w:sz w:val="16"/>
          <w:szCs w:val="16"/>
        </w:rPr>
        <w:t>external auditor</w:t>
      </w:r>
      <w:r w:rsidRPr="00930520">
        <w:rPr>
          <w:sz w:val="16"/>
          <w:szCs w:val="16"/>
        </w:rPr>
        <w:t xml:space="preserve"> is an appropriate provider, particularly where those services are required by UK law or regulation. The threats to independence arising from such services are not necessarily ‘clearly insignificant’.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B99D" w14:textId="554454A2" w:rsidR="002C707D" w:rsidRDefault="007726CF">
    <w:pPr>
      <w:pStyle w:val="Header"/>
    </w:pPr>
    <w:r>
      <w:rPr>
        <w:noProof/>
      </w:rPr>
      <mc:AlternateContent>
        <mc:Choice Requires="wps">
          <w:drawing>
            <wp:anchor distT="0" distB="0" distL="114300" distR="114300" simplePos="0" relativeHeight="251665408" behindDoc="1" locked="0" layoutInCell="1" allowOverlap="1" wp14:anchorId="396FB361" wp14:editId="3829FFA4">
              <wp:simplePos x="635" y="635"/>
              <wp:positionH relativeFrom="margin">
                <wp:align>center</wp:align>
              </wp:positionH>
              <wp:positionV relativeFrom="margin">
                <wp:align>center</wp:align>
              </wp:positionV>
              <wp:extent cx="62865" cy="15240"/>
              <wp:effectExtent l="0" t="38100" r="13335" b="22860"/>
              <wp:wrapNone/>
              <wp:docPr id="920520827"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3E5622CD" w14:textId="0981DE87"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6FB361" id="_x0000_t202" coordsize="21600,21600" o:spt="202" path="m,l,21600r21600,l21600,xe">
              <v:stroke joinstyle="miter"/>
              <v:path gradientshapeok="t" o:connecttype="rect"/>
            </v:shapetype>
            <v:shape id="Text Box 2" o:spid="_x0000_s1026" type="#_x0000_t202" alt="Confidential" style="position:absolute;margin-left:0;margin-top:0;width:4.95pt;height:1.2pt;rotation:-45;z-index:-25165107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" filled="f" stroked="f">
              <v:textbox style="mso-fit-shape-to-text:t" inset="0,0,0,0">
                <w:txbxContent>
                  <w:p w14:paraId="3E5622CD" w14:textId="0981DE87"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2C707D">
      <w:rPr>
        <w:noProof/>
      </w:rPr>
      <mc:AlternateContent>
        <mc:Choice Requires="wps">
          <w:drawing>
            <wp:anchor distT="0" distB="0" distL="114300" distR="114300" simplePos="0" relativeHeight="251661312" behindDoc="1" locked="0" layoutInCell="0" allowOverlap="1" wp14:anchorId="0CEB3021" wp14:editId="62741D99">
              <wp:simplePos x="0" y="0"/>
              <wp:positionH relativeFrom="margin">
                <wp:align>center</wp:align>
              </wp:positionH>
              <wp:positionV relativeFrom="margin">
                <wp:align>center</wp:align>
              </wp:positionV>
              <wp:extent cx="85725" cy="28575"/>
              <wp:effectExtent l="0" t="28575" r="0" b="19050"/>
              <wp:wrapNone/>
              <wp:docPr id="112781486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5D8BB"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B3021" id="_x0000_t202" coordsize="21600,21600" o:spt="202" path="m,l,21600r21600,l21600,xe">
              <v:stroke joinstyle="miter"/>
              <v:path gradientshapeok="t" o:connecttype="rect"/>
            </v:shapetype>
            <v:shape id="WordArt 2" o:spid="_x0000_s1026" type="#_x0000_t202" style="position:absolute;margin-left:0;margin-top:0;width:6.75pt;height:2.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" o:allowincell="f" filled="f" stroked="f">
              <v:stroke joinstyle="round"/>
              <o:lock v:ext="edit" shapetype="t"/>
              <v:textbox style="mso-fit-shape-to-text:t">
                <w:txbxContent>
                  <w:p w14:paraId="5AF5D8BB"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6309"/>
      <w:gridCol w:w="2130"/>
    </w:tblGrid>
    <w:tr w:rsidR="00991992" w:rsidRPr="008E3AC9" w14:paraId="073DA548" w14:textId="77777777" w:rsidTr="00204F46">
      <w:trPr>
        <w:cantSplit/>
        <w:trHeight w:val="783"/>
        <w:jc w:val="center"/>
      </w:trPr>
      <w:tc>
        <w:tcPr>
          <w:tcW w:w="974" w:type="pct"/>
          <w:vAlign w:val="center"/>
        </w:tcPr>
        <w:p w14:paraId="65E9CD28" w14:textId="4663AACB" w:rsidR="00991992" w:rsidRPr="008E3AC9" w:rsidRDefault="007726CF" w:rsidP="009C154C">
          <w:pPr>
            <w:pStyle w:val="Header"/>
            <w:jc w:val="center"/>
            <w:rPr>
              <w:rFonts w:ascii="Arial" w:hAnsi="Arial" w:cs="Arial"/>
              <w:sz w:val="22"/>
              <w:szCs w:val="22"/>
            </w:rPr>
          </w:pPr>
          <w:r>
            <w:rPr>
              <w:noProof/>
            </w:rPr>
            <mc:AlternateContent>
              <mc:Choice Requires="wps">
                <w:drawing>
                  <wp:anchor distT="0" distB="0" distL="114300" distR="114300" simplePos="0" relativeHeight="251666432" behindDoc="1" locked="0" layoutInCell="1" allowOverlap="1" wp14:anchorId="5299AA27" wp14:editId="5CC9F8A5">
                    <wp:simplePos x="520995" y="478465"/>
                    <wp:positionH relativeFrom="margin">
                      <wp:align>center</wp:align>
                    </wp:positionH>
                    <wp:positionV relativeFrom="margin">
                      <wp:align>center</wp:align>
                    </wp:positionV>
                    <wp:extent cx="62865" cy="15240"/>
                    <wp:effectExtent l="0" t="38100" r="13335" b="22860"/>
                    <wp:wrapNone/>
                    <wp:docPr id="2094794621"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1F9142E3" w14:textId="22BFBC82"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99AA27" id="_x0000_t202" coordsize="21600,21600" o:spt="202" path="m,l,21600r21600,l21600,xe">
                    <v:stroke joinstyle="miter"/>
                    <v:path gradientshapeok="t" o:connecttype="rect"/>
                  </v:shapetype>
                  <v:shape id="Text Box 3" o:spid="_x0000_s1028" type="#_x0000_t202" alt="Confidential" style="position:absolute;left:0;text-align:left;margin-left:0;margin-top:0;width:4.95pt;height:1.2pt;rotation:-45;z-index:-25165004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EBDw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0rPh1G2UF9ognzENRw8HLdUumN&#10;CPFJIG2bnKTg+EiHNtBVHC4WZw3gz7/5Uz4tgaKcdaSeijuSN2fmu6PlJKENBg7GbjDcwd4ByXGS&#10;e8kmXcBoBlMj2BeS9SrVoJBwkipVPA7mXTwrmJ6FVKtVTiI5eRE3butlgh6Yfu5fBPoL15FW9ACD&#10;qkT5jvJzbroZ/OoQifi8j8TqmcML2STFvKbLs0laf/ufs14f9/IXAA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FVekQEPAgAAJAQA&#10;AA4AAAAAAAAAAAAAAAAALgIAAGRycy9lMm9Eb2MueG1sUEsBAi0AFAAGAAgAAAAhAN3PJiLYAAAA&#10;AQEAAA8AAAAAAAAAAAAAAAAAaQQAAGRycy9kb3ducmV2LnhtbFBLBQYAAAAABAAEAPMAAABuBQAA&#10;AAA=&#10;" filled="f" stroked="f">
                    <v:textbox style="mso-fit-shape-to-text:t" inset="0,0,0,0">
                      <w:txbxContent>
                        <w:p w14:paraId="1F9142E3" w14:textId="22BFBC82"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2C707D">
            <w:rPr>
              <w:noProof/>
            </w:rPr>
            <mc:AlternateContent>
              <mc:Choice Requires="wps">
                <w:drawing>
                  <wp:anchor distT="0" distB="0" distL="114300" distR="114300" simplePos="0" relativeHeight="251663360" behindDoc="1" locked="0" layoutInCell="0" allowOverlap="1" wp14:anchorId="566B77F8" wp14:editId="66F8134A">
                    <wp:simplePos x="0" y="0"/>
                    <wp:positionH relativeFrom="margin">
                      <wp:align>center</wp:align>
                    </wp:positionH>
                    <wp:positionV relativeFrom="margin">
                      <wp:align>center</wp:align>
                    </wp:positionV>
                    <wp:extent cx="85725" cy="28575"/>
                    <wp:effectExtent l="0" t="28575" r="0" b="19050"/>
                    <wp:wrapNone/>
                    <wp:docPr id="45953730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A97EC"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6B77F8" id="_x0000_t202" coordsize="21600,21600" o:spt="202" path="m,l,21600r21600,l21600,xe">
                    <v:stroke joinstyle="miter"/>
                    <v:path gradientshapeok="t" o:connecttype="rect"/>
                  </v:shapetype>
                  <v:shape id="WordArt 3" o:spid="_x0000_s1027" type="#_x0000_t202" style="position:absolute;left:0;text-align:left;margin-left:0;margin-top:0;width:6.75pt;height:2.2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" o:allowincell="f" filled="f" stroked="f">
                    <v:stroke joinstyle="round"/>
                    <o:lock v:ext="edit" shapetype="t"/>
                    <v:textbox style="mso-fit-shape-to-text:t">
                      <w:txbxContent>
                        <w:p w14:paraId="424A97EC"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991992" w:rsidRPr="008E3AC9">
            <w:rPr>
              <w:rFonts w:ascii="Arial" w:hAnsi="Arial" w:cs="Arial"/>
              <w:sz w:val="22"/>
              <w:szCs w:val="22"/>
            </w:rPr>
            <w:t>Applies to:</w:t>
          </w:r>
        </w:p>
        <w:p w14:paraId="55706D05" w14:textId="77777777" w:rsidR="00991992" w:rsidRPr="008E3AC9" w:rsidRDefault="00C821A7" w:rsidP="009C154C">
          <w:pPr>
            <w:pStyle w:val="Header"/>
            <w:jc w:val="center"/>
            <w:rPr>
              <w:rFonts w:ascii="Arial" w:hAnsi="Arial" w:cs="Arial"/>
              <w:b/>
              <w:sz w:val="22"/>
              <w:szCs w:val="22"/>
            </w:rPr>
          </w:pPr>
          <w:r w:rsidRPr="008E3AC9">
            <w:rPr>
              <w:rFonts w:ascii="Arial" w:hAnsi="Arial" w:cs="Arial"/>
              <w:b/>
              <w:sz w:val="22"/>
              <w:szCs w:val="22"/>
            </w:rPr>
            <w:t>All staff</w:t>
          </w:r>
        </w:p>
      </w:tc>
      <w:tc>
        <w:tcPr>
          <w:tcW w:w="3010" w:type="pct"/>
          <w:vAlign w:val="center"/>
        </w:tcPr>
        <w:p w14:paraId="55132B76" w14:textId="77777777" w:rsidR="00991992" w:rsidRPr="008E3AC9" w:rsidRDefault="00FA297B" w:rsidP="00AD51CF">
          <w:pPr>
            <w:pStyle w:val="Header"/>
            <w:jc w:val="center"/>
            <w:rPr>
              <w:rFonts w:ascii="Arial" w:hAnsi="Arial" w:cs="Arial"/>
              <w:b/>
              <w:sz w:val="24"/>
            </w:rPr>
          </w:pPr>
          <w:r w:rsidRPr="008E3AC9">
            <w:rPr>
              <w:rFonts w:ascii="Arial" w:hAnsi="Arial" w:cs="Arial"/>
              <w:b/>
              <w:sz w:val="24"/>
            </w:rPr>
            <w:t>Non-Audit Services Procedure</w:t>
          </w:r>
        </w:p>
      </w:tc>
      <w:tc>
        <w:tcPr>
          <w:tcW w:w="1016" w:type="pct"/>
          <w:vAlign w:val="center"/>
        </w:tcPr>
        <w:p w14:paraId="5B77351E" w14:textId="77777777" w:rsidR="00991992" w:rsidRPr="008E3AC9" w:rsidRDefault="00C821A7" w:rsidP="009C2D89">
          <w:pPr>
            <w:pStyle w:val="Header"/>
            <w:jc w:val="center"/>
            <w:rPr>
              <w:rFonts w:ascii="Arial" w:hAnsi="Arial" w:cs="Arial"/>
              <w:b/>
              <w:sz w:val="24"/>
            </w:rPr>
          </w:pPr>
          <w:r w:rsidRPr="008E3AC9">
            <w:rPr>
              <w:rFonts w:ascii="Arial" w:hAnsi="Arial" w:cs="Arial"/>
              <w:b/>
              <w:sz w:val="24"/>
            </w:rPr>
            <w:t>P</w:t>
          </w:r>
          <w:r w:rsidR="00FA297B" w:rsidRPr="008E3AC9">
            <w:rPr>
              <w:rFonts w:ascii="Arial" w:hAnsi="Arial" w:cs="Arial"/>
              <w:b/>
              <w:sz w:val="24"/>
            </w:rPr>
            <w:t>R</w:t>
          </w:r>
          <w:r w:rsidR="00F056ED" w:rsidRPr="008E3AC9">
            <w:rPr>
              <w:rFonts w:ascii="Arial" w:hAnsi="Arial" w:cs="Arial"/>
              <w:b/>
              <w:sz w:val="24"/>
            </w:rPr>
            <w:t>-COR-</w:t>
          </w:r>
          <w:r w:rsidR="009C2D89" w:rsidRPr="008E3AC9">
            <w:rPr>
              <w:rFonts w:ascii="Arial" w:hAnsi="Arial" w:cs="Arial"/>
              <w:b/>
              <w:sz w:val="24"/>
            </w:rPr>
            <w:t>087</w:t>
          </w:r>
        </w:p>
      </w:tc>
    </w:tr>
    <w:tr w:rsidR="00DC42FE" w:rsidRPr="008E3AC9" w14:paraId="1D5B6BD4" w14:textId="77777777" w:rsidTr="00204F46">
      <w:trPr>
        <w:cantSplit/>
        <w:trHeight w:val="783"/>
        <w:jc w:val="center"/>
      </w:trPr>
      <w:tc>
        <w:tcPr>
          <w:tcW w:w="974" w:type="pct"/>
          <w:vAlign w:val="center"/>
        </w:tcPr>
        <w:p w14:paraId="62FA656A" w14:textId="16566278" w:rsidR="00DC42FE" w:rsidRPr="008E3AC9" w:rsidRDefault="00DC42FE" w:rsidP="009C154C">
          <w:pPr>
            <w:pStyle w:val="Header"/>
            <w:jc w:val="center"/>
            <w:rPr>
              <w:rFonts w:ascii="Arial" w:hAnsi="Arial" w:cs="Arial"/>
              <w:sz w:val="22"/>
              <w:szCs w:val="22"/>
            </w:rPr>
          </w:pPr>
          <w:r w:rsidRPr="008E3AC9">
            <w:rPr>
              <w:rFonts w:ascii="Arial" w:hAnsi="Arial" w:cs="Arial"/>
              <w:sz w:val="22"/>
              <w:szCs w:val="22"/>
            </w:rPr>
            <w:t>Classification : Internal</w:t>
          </w:r>
        </w:p>
      </w:tc>
      <w:tc>
        <w:tcPr>
          <w:tcW w:w="3010" w:type="pct"/>
          <w:vAlign w:val="center"/>
        </w:tcPr>
        <w:p w14:paraId="3B117E6E" w14:textId="77777777" w:rsidR="00DC42FE" w:rsidRPr="008E3AC9" w:rsidRDefault="00DC42FE" w:rsidP="00AD51CF">
          <w:pPr>
            <w:pStyle w:val="Header"/>
            <w:jc w:val="center"/>
            <w:rPr>
              <w:rFonts w:ascii="Arial" w:hAnsi="Arial" w:cs="Arial"/>
              <w:b/>
              <w:sz w:val="24"/>
            </w:rPr>
          </w:pPr>
          <w:r w:rsidRPr="008E3AC9">
            <w:rPr>
              <w:rFonts w:ascii="Arial" w:hAnsi="Arial" w:cs="Arial"/>
              <w:sz w:val="22"/>
              <w:szCs w:val="22"/>
            </w:rPr>
            <w:t>Uncontrolled if printed</w:t>
          </w:r>
        </w:p>
      </w:tc>
      <w:tc>
        <w:tcPr>
          <w:tcW w:w="1016" w:type="pct"/>
          <w:vAlign w:val="center"/>
        </w:tcPr>
        <w:p w14:paraId="292C2385" w14:textId="552A1AE6" w:rsidR="00DC42FE" w:rsidRPr="008E3AC9" w:rsidRDefault="00427983" w:rsidP="000073E9">
          <w:pPr>
            <w:pStyle w:val="Header"/>
            <w:jc w:val="center"/>
            <w:rPr>
              <w:rFonts w:ascii="Arial" w:hAnsi="Arial" w:cs="Arial"/>
              <w:b/>
              <w:sz w:val="24"/>
            </w:rPr>
          </w:pPr>
          <w:r w:rsidRPr="008E3AC9">
            <w:rPr>
              <w:rFonts w:ascii="Arial" w:hAnsi="Arial" w:cs="Arial"/>
              <w:sz w:val="22"/>
              <w:szCs w:val="22"/>
            </w:rPr>
            <w:t>Rev:</w:t>
          </w:r>
          <w:r w:rsidR="006268D2" w:rsidRPr="008E3AC9">
            <w:rPr>
              <w:rFonts w:ascii="Arial" w:hAnsi="Arial" w:cs="Arial"/>
              <w:sz w:val="22"/>
              <w:szCs w:val="22"/>
            </w:rPr>
            <w:t>3</w:t>
          </w:r>
          <w:r w:rsidR="000073E9" w:rsidRPr="008E3AC9">
            <w:rPr>
              <w:rFonts w:ascii="Arial" w:hAnsi="Arial" w:cs="Arial"/>
              <w:sz w:val="22"/>
              <w:szCs w:val="22"/>
            </w:rPr>
            <w:t>.0</w:t>
          </w:r>
          <w:r w:rsidR="00930520">
            <w:rPr>
              <w:rFonts w:ascii="Arial" w:hAnsi="Arial" w:cs="Arial"/>
              <w:sz w:val="22"/>
              <w:szCs w:val="22"/>
            </w:rPr>
            <w:t>2</w:t>
          </w:r>
        </w:p>
      </w:tc>
    </w:tr>
  </w:tbl>
  <w:p w14:paraId="57445491" w14:textId="5E829A43" w:rsidR="00991992" w:rsidRPr="008E3AC9" w:rsidRDefault="00991992" w:rsidP="00FF1E56">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53A5" w14:textId="1735FBA5" w:rsidR="002C707D" w:rsidRDefault="007726CF">
    <w:pPr>
      <w:pStyle w:val="Header"/>
    </w:pPr>
    <w:r>
      <w:rPr>
        <w:noProof/>
      </w:rPr>
      <mc:AlternateContent>
        <mc:Choice Requires="wps">
          <w:drawing>
            <wp:anchor distT="0" distB="0" distL="114300" distR="114300" simplePos="0" relativeHeight="251664384" behindDoc="1" locked="0" layoutInCell="1" allowOverlap="1" wp14:anchorId="0D039C7F" wp14:editId="1F681CE3">
              <wp:simplePos x="635" y="635"/>
              <wp:positionH relativeFrom="margin">
                <wp:align>center</wp:align>
              </wp:positionH>
              <wp:positionV relativeFrom="margin">
                <wp:align>center</wp:align>
              </wp:positionV>
              <wp:extent cx="62865" cy="15240"/>
              <wp:effectExtent l="0" t="38100" r="13335" b="22860"/>
              <wp:wrapNone/>
              <wp:docPr id="1162882242"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5CF031E4" w14:textId="05B6E680"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039C7F" id="_x0000_t202" coordsize="21600,21600" o:spt="202" path="m,l,21600r21600,l21600,xe">
              <v:stroke joinstyle="miter"/>
              <v:path gradientshapeok="t" o:connecttype="rect"/>
            </v:shapetype>
            <v:shape id="Text Box 1" o:spid="_x0000_s1030" type="#_x0000_t202" alt="Confidential" style="position:absolute;margin-left:0;margin-top:0;width:4.95pt;height:1.2pt;rotation:-45;z-index:-25165209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HCrZHAPAgAAJAQA&#10;AA4AAAAAAAAAAAAAAAAALgIAAGRycy9lMm9Eb2MueG1sUEsBAi0AFAAGAAgAAAAhAN3PJiLYAAAA&#10;AQEAAA8AAAAAAAAAAAAAAAAAaQQAAGRycy9kb3ducmV2LnhtbFBLBQYAAAAABAAEAPMAAABuBQAA&#10;AAA=&#10;" filled="f" stroked="f">
              <v:fill o:detectmouseclick="t"/>
              <v:textbox style="mso-fit-shape-to-text:t" inset="0,0,0,0">
                <w:txbxContent>
                  <w:p w14:paraId="5CF031E4" w14:textId="05B6E680" w:rsidR="007726CF" w:rsidRPr="007726CF" w:rsidRDefault="007726CF" w:rsidP="007726CF">
                    <w:pPr>
                      <w:spacing w:after="0"/>
                      <w:rPr>
                        <w:rFonts w:eastAsia="Calibri" w:cs="Calibri"/>
                        <w:noProof/>
                        <w:color w:val="DCDCDC"/>
                        <w:sz w:val="2"/>
                        <w:szCs w:val="2"/>
                        <w14:textFill>
                          <w14:solidFill>
                            <w14:srgbClr w14:val="DCDCDC">
                              <w14:alpha w14:val="50000"/>
                            </w14:srgbClr>
                          </w14:solidFill>
                        </w14:textFill>
                      </w:rPr>
                    </w:pPr>
                    <w:r w:rsidRPr="007726CF">
                      <w:rPr>
                        <w:rFonts w:eastAsia="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2C707D">
      <w:rPr>
        <w:noProof/>
      </w:rPr>
      <mc:AlternateContent>
        <mc:Choice Requires="wps">
          <w:drawing>
            <wp:anchor distT="0" distB="0" distL="114300" distR="114300" simplePos="0" relativeHeight="251659264" behindDoc="1" locked="0" layoutInCell="0" allowOverlap="1" wp14:anchorId="1B0EC1DF" wp14:editId="297502E7">
              <wp:simplePos x="0" y="0"/>
              <wp:positionH relativeFrom="margin">
                <wp:align>center</wp:align>
              </wp:positionH>
              <wp:positionV relativeFrom="margin">
                <wp:align>center</wp:align>
              </wp:positionV>
              <wp:extent cx="85725" cy="28575"/>
              <wp:effectExtent l="0" t="28575" r="0" b="19050"/>
              <wp:wrapNone/>
              <wp:docPr id="33013736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D5733"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0EC1DF" id="_x0000_t202" coordsize="21600,21600" o:spt="202" path="m,l,21600r21600,l21600,xe">
              <v:stroke joinstyle="miter"/>
              <v:path gradientshapeok="t" o:connecttype="rect"/>
            </v:shapetype>
            <v:shape id="WordArt 1" o:spid="_x0000_s1028" type="#_x0000_t202" style="position:absolute;margin-left:0;margin-top:0;width:6.75pt;height:2.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" o:allowincell="f" filled="f" stroked="f">
              <v:stroke joinstyle="round"/>
              <o:lock v:ext="edit" shapetype="t"/>
              <v:textbox style="mso-fit-shape-to-text:t">
                <w:txbxContent>
                  <w:p w14:paraId="449D5733" w14:textId="77777777" w:rsidR="002C707D" w:rsidRDefault="002C707D" w:rsidP="002C707D">
                    <w:pPr>
                      <w:jc w:val="center"/>
                      <w:rPr>
                        <w:rFonts w:eastAsia="Calibri" w:cs="Calibri"/>
                        <w:color w:val="DCDCDC"/>
                        <w:sz w:val="2"/>
                        <w:szCs w:val="2"/>
                        <w14:textFill>
                          <w14:solidFill>
                            <w14:srgbClr w14:val="DCDCDC">
                              <w14:alpha w14:val="50000"/>
                            </w14:srgbClr>
                          </w14:solidFill>
                        </w14:textFill>
                      </w:rPr>
                    </w:pPr>
                    <w:r>
                      <w:rPr>
                        <w:rFonts w:eastAsia="Calibri" w:cs="Calibri"/>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096B316"/>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1" w15:restartNumberingAfterBreak="0">
    <w:nsid w:val="FFFFFF81"/>
    <w:multiLevelType w:val="singleLevel"/>
    <w:tmpl w:val="BF84C3F0"/>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2" w15:restartNumberingAfterBreak="0">
    <w:nsid w:val="FFFFFF82"/>
    <w:multiLevelType w:val="singleLevel"/>
    <w:tmpl w:val="76087688"/>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3" w15:restartNumberingAfterBreak="0">
    <w:nsid w:val="FFFFFF83"/>
    <w:multiLevelType w:val="singleLevel"/>
    <w:tmpl w:val="4CE2D15E"/>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4" w15:restartNumberingAfterBreak="0">
    <w:nsid w:val="FFFFFF88"/>
    <w:multiLevelType w:val="singleLevel"/>
    <w:tmpl w:val="505C3EC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7E2764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6" w15:restartNumberingAfterBreak="0">
    <w:nsid w:val="021161DE"/>
    <w:multiLevelType w:val="multilevel"/>
    <w:tmpl w:val="58DA3A46"/>
    <w:styleLink w:val="NumbLstNumb"/>
    <w:lvl w:ilvl="0">
      <w:start w:val="1"/>
      <w:numFmt w:val="decimal"/>
      <w:pStyle w:val="NumbList1"/>
      <w:lvlText w:val="%1."/>
      <w:lvlJc w:val="left"/>
      <w:pPr>
        <w:tabs>
          <w:tab w:val="num" w:pos="340"/>
        </w:tabs>
        <w:ind w:left="340" w:hanging="340"/>
      </w:pPr>
      <w:rPr>
        <w:rFonts w:hint="default"/>
      </w:rPr>
    </w:lvl>
    <w:lvl w:ilvl="1">
      <w:start w:val="1"/>
      <w:numFmt w:val="lowerLetter"/>
      <w:pStyle w:val="NumbList2"/>
      <w:lvlText w:val="%2."/>
      <w:lvlJc w:val="left"/>
      <w:pPr>
        <w:tabs>
          <w:tab w:val="num" w:pos="680"/>
        </w:tabs>
        <w:ind w:left="680" w:hanging="340"/>
      </w:pPr>
      <w:rPr>
        <w:rFonts w:hint="default"/>
      </w:rPr>
    </w:lvl>
    <w:lvl w:ilvl="2">
      <w:start w:val="1"/>
      <w:numFmt w:val="none"/>
      <w:suff w:val="nothing"/>
      <w:lvlText w:val="%3"/>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7"/>
      <w:lvlJc w:val="left"/>
      <w:pPr>
        <w:ind w:left="680" w:firstLine="0"/>
      </w:pPr>
      <w:rPr>
        <w:rFonts w:hint="default"/>
      </w:rPr>
    </w:lvl>
    <w:lvl w:ilvl="7">
      <w:start w:val="1"/>
      <w:numFmt w:val="none"/>
      <w:suff w:val="nothing"/>
      <w:lvlText w:val="%8"/>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7" w15:restartNumberingAfterBreak="0">
    <w:nsid w:val="2154570F"/>
    <w:multiLevelType w:val="hybridMultilevel"/>
    <w:tmpl w:val="65A4C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4621E"/>
    <w:multiLevelType w:val="hybridMultilevel"/>
    <w:tmpl w:val="CC0E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1271F"/>
    <w:multiLevelType w:val="multilevel"/>
    <w:tmpl w:val="1446394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4DB49B0"/>
    <w:multiLevelType w:val="hybridMultilevel"/>
    <w:tmpl w:val="4C444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EE3038"/>
    <w:multiLevelType w:val="hybridMultilevel"/>
    <w:tmpl w:val="47EC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C0B40"/>
    <w:multiLevelType w:val="hybridMultilevel"/>
    <w:tmpl w:val="9C10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71928"/>
    <w:multiLevelType w:val="multilevel"/>
    <w:tmpl w:val="7B32A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8E67AC"/>
    <w:multiLevelType w:val="hybridMultilevel"/>
    <w:tmpl w:val="072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942E5"/>
    <w:multiLevelType w:val="multilevel"/>
    <w:tmpl w:val="3BC0AD6A"/>
    <w:styleLink w:val="Style1"/>
    <w:lvl w:ilvl="0">
      <w:start w:val="1"/>
      <w:numFmt w:val="decimal"/>
      <w:lvlText w:val="%1."/>
      <w:lvlJc w:val="left"/>
      <w:pPr>
        <w:tabs>
          <w:tab w:val="num" w:pos="360"/>
        </w:tabs>
        <w:ind w:left="360" w:hanging="360"/>
      </w:pPr>
      <w:rPr>
        <w:rFonts w:ascii="Arial" w:hAnsi="Arial"/>
        <w:b/>
        <w:sz w:val="24"/>
      </w:rPr>
    </w:lvl>
    <w:lvl w:ilvl="1">
      <w:start w:val="1"/>
      <w:numFmt w:val="decimal"/>
      <w:lvlText w:val="%2."/>
      <w:lvlJc w:val="left"/>
      <w:pPr>
        <w:tabs>
          <w:tab w:val="num" w:pos="1080"/>
        </w:tabs>
        <w:ind w:left="1080" w:hanging="360"/>
      </w:pPr>
      <w:rPr>
        <w:rFonts w:ascii="Arial" w:hAnsi="Arial"/>
        <w:b/>
        <w:sz w:val="24"/>
      </w:rPr>
    </w:lvl>
    <w:lvl w:ilvl="2">
      <w:start w:val="1"/>
      <w:numFmt w:val="decimal"/>
      <w:lvlText w:val="%3."/>
      <w:lvlJc w:val="right"/>
      <w:pPr>
        <w:tabs>
          <w:tab w:val="num" w:pos="1800"/>
        </w:tabs>
        <w:ind w:left="1800" w:hanging="180"/>
      </w:pPr>
      <w:rPr>
        <w:rFonts w:ascii="Arial" w:hAnsi="Arial"/>
        <w:b/>
        <w:sz w:val="24"/>
      </w:rPr>
    </w:lvl>
    <w:lvl w:ilvl="3">
      <w:start w:val="1"/>
      <w:numFmt w:val="bullet"/>
      <w:lvlText w:val=""/>
      <w:lvlJc w:val="left"/>
      <w:pPr>
        <w:tabs>
          <w:tab w:val="num" w:pos="2520"/>
        </w:tabs>
        <w:ind w:left="2520" w:hanging="360"/>
      </w:pPr>
      <w:rPr>
        <w:rFonts w:ascii="Symbol" w:hAnsi="Symbol" w:hint="default"/>
        <w:b/>
        <w:color w:val="auto"/>
        <w:sz w:val="24"/>
      </w:rPr>
    </w:lvl>
    <w:lvl w:ilvl="4">
      <w:start w:val="1"/>
      <w:numFmt w:val="bullet"/>
      <w:lvlText w:val=""/>
      <w:lvlJc w:val="left"/>
      <w:pPr>
        <w:tabs>
          <w:tab w:val="num" w:pos="3240"/>
        </w:tabs>
        <w:ind w:left="3240" w:hanging="360"/>
      </w:pPr>
      <w:rPr>
        <w:rFonts w:ascii="Symbol" w:hAnsi="Symbol" w:hint="default"/>
        <w:b/>
        <w:color w:val="auto"/>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FAE7E45"/>
    <w:multiLevelType w:val="multilevel"/>
    <w:tmpl w:val="087279A0"/>
    <w:styleLink w:val="NumbLstMain"/>
    <w:lvl w:ilvl="0">
      <w:start w:val="1"/>
      <w:numFmt w:val="decimal"/>
      <w:pStyle w:val="Heading1Numb"/>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2211"/>
        </w:tabs>
        <w:ind w:left="2211" w:hanging="737"/>
      </w:pPr>
      <w:rPr>
        <w:rFonts w:hint="default"/>
      </w:rPr>
    </w:lvl>
    <w:lvl w:ilvl="4">
      <w:start w:val="1"/>
      <w:numFmt w:val="none"/>
      <w:lvlText w:val=""/>
      <w:lvlJc w:val="left"/>
      <w:pPr>
        <w:tabs>
          <w:tab w:val="num" w:pos="2211"/>
        </w:tabs>
        <w:ind w:left="2211" w:firstLine="0"/>
      </w:pPr>
      <w:rPr>
        <w:rFonts w:hint="default"/>
      </w:rPr>
    </w:lvl>
    <w:lvl w:ilvl="5">
      <w:start w:val="1"/>
      <w:numFmt w:val="none"/>
      <w:lvlText w:val=""/>
      <w:lvlJc w:val="left"/>
      <w:pPr>
        <w:tabs>
          <w:tab w:val="num" w:pos="2211"/>
        </w:tabs>
        <w:ind w:left="2211" w:firstLine="0"/>
      </w:pPr>
      <w:rPr>
        <w:rFonts w:hint="default"/>
      </w:rPr>
    </w:lvl>
    <w:lvl w:ilvl="6">
      <w:start w:val="1"/>
      <w:numFmt w:val="none"/>
      <w:lvlText w:val=""/>
      <w:lvlJc w:val="left"/>
      <w:pPr>
        <w:tabs>
          <w:tab w:val="num" w:pos="2211"/>
        </w:tabs>
        <w:ind w:left="2211" w:firstLine="0"/>
      </w:pPr>
      <w:rPr>
        <w:rFonts w:hint="default"/>
      </w:rPr>
    </w:lvl>
    <w:lvl w:ilvl="7">
      <w:start w:val="1"/>
      <w:numFmt w:val="none"/>
      <w:lvlText w:val=""/>
      <w:lvlJc w:val="left"/>
      <w:pPr>
        <w:tabs>
          <w:tab w:val="num" w:pos="2211"/>
        </w:tabs>
        <w:ind w:left="2211" w:firstLine="0"/>
      </w:pPr>
      <w:rPr>
        <w:rFonts w:hint="default"/>
      </w:rPr>
    </w:lvl>
    <w:lvl w:ilvl="8">
      <w:start w:val="1"/>
      <w:numFmt w:val="none"/>
      <w:lvlText w:val=""/>
      <w:lvlJc w:val="left"/>
      <w:pPr>
        <w:tabs>
          <w:tab w:val="num" w:pos="2211"/>
        </w:tabs>
        <w:ind w:left="2211" w:firstLine="0"/>
      </w:pPr>
      <w:rPr>
        <w:rFonts w:hint="default"/>
      </w:rPr>
    </w:lvl>
  </w:abstractNum>
  <w:abstractNum w:abstractNumId="17" w15:restartNumberingAfterBreak="0">
    <w:nsid w:val="508F4392"/>
    <w:multiLevelType w:val="multilevel"/>
    <w:tmpl w:val="8BE2EBC0"/>
    <w:styleLink w:val="NumbL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none"/>
      <w:suff w:val="nothing"/>
      <w:lvlText w:val="%3"/>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7"/>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15:restartNumberingAfterBreak="0">
    <w:nsid w:val="536468D4"/>
    <w:multiLevelType w:val="hybridMultilevel"/>
    <w:tmpl w:val="D2A8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922F0"/>
    <w:multiLevelType w:val="multilevel"/>
    <w:tmpl w:val="0809001F"/>
    <w:styleLink w:val="111111"/>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3683C90"/>
    <w:multiLevelType w:val="hybridMultilevel"/>
    <w:tmpl w:val="2862C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7361798">
    <w:abstractNumId w:val="19"/>
  </w:num>
  <w:num w:numId="2" w16cid:durableId="693726174">
    <w:abstractNumId w:val="5"/>
  </w:num>
  <w:num w:numId="3" w16cid:durableId="1872187312">
    <w:abstractNumId w:val="2"/>
  </w:num>
  <w:num w:numId="4" w16cid:durableId="1425298502">
    <w:abstractNumId w:val="0"/>
  </w:num>
  <w:num w:numId="5" w16cid:durableId="904948743">
    <w:abstractNumId w:val="3"/>
  </w:num>
  <w:num w:numId="6" w16cid:durableId="447552063">
    <w:abstractNumId w:val="1"/>
  </w:num>
  <w:num w:numId="7" w16cid:durableId="543175883">
    <w:abstractNumId w:val="4"/>
  </w:num>
  <w:num w:numId="8" w16cid:durableId="502935874">
    <w:abstractNumId w:val="15"/>
  </w:num>
  <w:num w:numId="9" w16cid:durableId="1590846227">
    <w:abstractNumId w:val="9"/>
  </w:num>
  <w:num w:numId="10" w16cid:durableId="674384484">
    <w:abstractNumId w:val="17"/>
  </w:num>
  <w:num w:numId="11" w16cid:durableId="520049326">
    <w:abstractNumId w:val="16"/>
  </w:num>
  <w:num w:numId="12" w16cid:durableId="634994254">
    <w:abstractNumId w:val="6"/>
  </w:num>
  <w:num w:numId="13" w16cid:durableId="2059670598">
    <w:abstractNumId w:val="13"/>
  </w:num>
  <w:num w:numId="14" w16cid:durableId="1892109880">
    <w:abstractNumId w:val="12"/>
  </w:num>
  <w:num w:numId="15" w16cid:durableId="181166009">
    <w:abstractNumId w:val="14"/>
  </w:num>
  <w:num w:numId="16" w16cid:durableId="1969510432">
    <w:abstractNumId w:val="18"/>
  </w:num>
  <w:num w:numId="17" w16cid:durableId="191919166">
    <w:abstractNumId w:val="7"/>
  </w:num>
  <w:num w:numId="18" w16cid:durableId="897471475">
    <w:abstractNumId w:val="10"/>
  </w:num>
  <w:num w:numId="19" w16cid:durableId="1710454987">
    <w:abstractNumId w:val="20"/>
  </w:num>
  <w:num w:numId="20" w16cid:durableId="1701124593">
    <w:abstractNumId w:val="11"/>
  </w:num>
  <w:num w:numId="21" w16cid:durableId="186917591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01"/>
    <w:rsid w:val="000049BE"/>
    <w:rsid w:val="000073E9"/>
    <w:rsid w:val="00013978"/>
    <w:rsid w:val="00030F2D"/>
    <w:rsid w:val="00036D24"/>
    <w:rsid w:val="0004500C"/>
    <w:rsid w:val="00053934"/>
    <w:rsid w:val="0007362B"/>
    <w:rsid w:val="00075F11"/>
    <w:rsid w:val="00080650"/>
    <w:rsid w:val="000855DC"/>
    <w:rsid w:val="00093872"/>
    <w:rsid w:val="000B407B"/>
    <w:rsid w:val="000B4884"/>
    <w:rsid w:val="000D6DF0"/>
    <w:rsid w:val="000E40C0"/>
    <w:rsid w:val="000E7630"/>
    <w:rsid w:val="00106779"/>
    <w:rsid w:val="00112CEE"/>
    <w:rsid w:val="00121613"/>
    <w:rsid w:val="00122FD6"/>
    <w:rsid w:val="001278EA"/>
    <w:rsid w:val="00130B5F"/>
    <w:rsid w:val="00142911"/>
    <w:rsid w:val="001457E9"/>
    <w:rsid w:val="001527E3"/>
    <w:rsid w:val="00152CA7"/>
    <w:rsid w:val="00162F07"/>
    <w:rsid w:val="00165E09"/>
    <w:rsid w:val="00166BEA"/>
    <w:rsid w:val="00176073"/>
    <w:rsid w:val="001852A5"/>
    <w:rsid w:val="0019059D"/>
    <w:rsid w:val="00191C4B"/>
    <w:rsid w:val="00197E20"/>
    <w:rsid w:val="001B3FC1"/>
    <w:rsid w:val="001B7563"/>
    <w:rsid w:val="001D0852"/>
    <w:rsid w:val="001E2B12"/>
    <w:rsid w:val="001F0B22"/>
    <w:rsid w:val="001F4CB5"/>
    <w:rsid w:val="0020230A"/>
    <w:rsid w:val="00202DDF"/>
    <w:rsid w:val="00204F46"/>
    <w:rsid w:val="00211034"/>
    <w:rsid w:val="00223C26"/>
    <w:rsid w:val="002257EA"/>
    <w:rsid w:val="0022678B"/>
    <w:rsid w:val="00226F03"/>
    <w:rsid w:val="0024015E"/>
    <w:rsid w:val="00273360"/>
    <w:rsid w:val="00273BE4"/>
    <w:rsid w:val="00275E31"/>
    <w:rsid w:val="00283B16"/>
    <w:rsid w:val="002908F4"/>
    <w:rsid w:val="00292025"/>
    <w:rsid w:val="002A352A"/>
    <w:rsid w:val="002B1272"/>
    <w:rsid w:val="002B5538"/>
    <w:rsid w:val="002C707D"/>
    <w:rsid w:val="002D2CB5"/>
    <w:rsid w:val="002D57EA"/>
    <w:rsid w:val="002F4F6F"/>
    <w:rsid w:val="002F64B7"/>
    <w:rsid w:val="003102DB"/>
    <w:rsid w:val="0032225C"/>
    <w:rsid w:val="00322A42"/>
    <w:rsid w:val="003244B5"/>
    <w:rsid w:val="003306D9"/>
    <w:rsid w:val="0033419F"/>
    <w:rsid w:val="00337680"/>
    <w:rsid w:val="00340332"/>
    <w:rsid w:val="0034285E"/>
    <w:rsid w:val="00344F70"/>
    <w:rsid w:val="00346A48"/>
    <w:rsid w:val="0035581C"/>
    <w:rsid w:val="00357483"/>
    <w:rsid w:val="00372B70"/>
    <w:rsid w:val="0037508E"/>
    <w:rsid w:val="00381EA5"/>
    <w:rsid w:val="003831F3"/>
    <w:rsid w:val="00390930"/>
    <w:rsid w:val="00390AFC"/>
    <w:rsid w:val="003964F9"/>
    <w:rsid w:val="003A024C"/>
    <w:rsid w:val="003A027A"/>
    <w:rsid w:val="003A3A7D"/>
    <w:rsid w:val="003A658A"/>
    <w:rsid w:val="003B0202"/>
    <w:rsid w:val="003B227B"/>
    <w:rsid w:val="003B640A"/>
    <w:rsid w:val="003C2B57"/>
    <w:rsid w:val="003C3442"/>
    <w:rsid w:val="003C3B36"/>
    <w:rsid w:val="003D432F"/>
    <w:rsid w:val="003D7C18"/>
    <w:rsid w:val="003F4343"/>
    <w:rsid w:val="004030DB"/>
    <w:rsid w:val="004031AE"/>
    <w:rsid w:val="00405E47"/>
    <w:rsid w:val="004132D1"/>
    <w:rsid w:val="00427983"/>
    <w:rsid w:val="00447CC1"/>
    <w:rsid w:val="00464759"/>
    <w:rsid w:val="00465309"/>
    <w:rsid w:val="004720B7"/>
    <w:rsid w:val="004809D4"/>
    <w:rsid w:val="00482AF5"/>
    <w:rsid w:val="00484AFF"/>
    <w:rsid w:val="00497B62"/>
    <w:rsid w:val="004A7469"/>
    <w:rsid w:val="004E5127"/>
    <w:rsid w:val="004F1231"/>
    <w:rsid w:val="004F7260"/>
    <w:rsid w:val="00526A38"/>
    <w:rsid w:val="00536005"/>
    <w:rsid w:val="00551680"/>
    <w:rsid w:val="00552404"/>
    <w:rsid w:val="0055526A"/>
    <w:rsid w:val="005603AC"/>
    <w:rsid w:val="005634CA"/>
    <w:rsid w:val="00566038"/>
    <w:rsid w:val="005675A3"/>
    <w:rsid w:val="005766F1"/>
    <w:rsid w:val="00576CAD"/>
    <w:rsid w:val="00594C6F"/>
    <w:rsid w:val="00596CD3"/>
    <w:rsid w:val="005A0A81"/>
    <w:rsid w:val="005A7640"/>
    <w:rsid w:val="005B66B8"/>
    <w:rsid w:val="005F4B9C"/>
    <w:rsid w:val="00613300"/>
    <w:rsid w:val="0061442E"/>
    <w:rsid w:val="0061668F"/>
    <w:rsid w:val="00622E79"/>
    <w:rsid w:val="006241F4"/>
    <w:rsid w:val="0062542D"/>
    <w:rsid w:val="00626376"/>
    <w:rsid w:val="006268D2"/>
    <w:rsid w:val="00630AAD"/>
    <w:rsid w:val="00631C6D"/>
    <w:rsid w:val="00634FA4"/>
    <w:rsid w:val="006450F9"/>
    <w:rsid w:val="0065296E"/>
    <w:rsid w:val="00681AA7"/>
    <w:rsid w:val="006909CB"/>
    <w:rsid w:val="006A2D7F"/>
    <w:rsid w:val="006C147F"/>
    <w:rsid w:val="006C20B4"/>
    <w:rsid w:val="006C27F5"/>
    <w:rsid w:val="006C39A6"/>
    <w:rsid w:val="006D007D"/>
    <w:rsid w:val="006D2FE9"/>
    <w:rsid w:val="006F186E"/>
    <w:rsid w:val="006F2065"/>
    <w:rsid w:val="00714B9E"/>
    <w:rsid w:val="0071795A"/>
    <w:rsid w:val="00723FC1"/>
    <w:rsid w:val="00726800"/>
    <w:rsid w:val="0075314D"/>
    <w:rsid w:val="00754D9C"/>
    <w:rsid w:val="007726CF"/>
    <w:rsid w:val="007760C7"/>
    <w:rsid w:val="00781443"/>
    <w:rsid w:val="007A0716"/>
    <w:rsid w:val="007A2401"/>
    <w:rsid w:val="007D4E15"/>
    <w:rsid w:val="007D52EB"/>
    <w:rsid w:val="007E22EF"/>
    <w:rsid w:val="007F1923"/>
    <w:rsid w:val="007F3EEF"/>
    <w:rsid w:val="007F5DDE"/>
    <w:rsid w:val="008021C0"/>
    <w:rsid w:val="00811E51"/>
    <w:rsid w:val="008245E4"/>
    <w:rsid w:val="008423F2"/>
    <w:rsid w:val="00846F95"/>
    <w:rsid w:val="00857B2B"/>
    <w:rsid w:val="00857B71"/>
    <w:rsid w:val="00863FA1"/>
    <w:rsid w:val="008652C9"/>
    <w:rsid w:val="008664E4"/>
    <w:rsid w:val="00877A54"/>
    <w:rsid w:val="00881FC5"/>
    <w:rsid w:val="00887691"/>
    <w:rsid w:val="00891101"/>
    <w:rsid w:val="0089483F"/>
    <w:rsid w:val="008B0BDC"/>
    <w:rsid w:val="008C24F2"/>
    <w:rsid w:val="008C78D7"/>
    <w:rsid w:val="008D07F2"/>
    <w:rsid w:val="008D3055"/>
    <w:rsid w:val="008E3AC9"/>
    <w:rsid w:val="008E71B7"/>
    <w:rsid w:val="008F6118"/>
    <w:rsid w:val="0090142A"/>
    <w:rsid w:val="00911983"/>
    <w:rsid w:val="00916D3F"/>
    <w:rsid w:val="00920199"/>
    <w:rsid w:val="00923E23"/>
    <w:rsid w:val="00930520"/>
    <w:rsid w:val="00930C7E"/>
    <w:rsid w:val="009400C1"/>
    <w:rsid w:val="00950E5C"/>
    <w:rsid w:val="00953086"/>
    <w:rsid w:val="00954E38"/>
    <w:rsid w:val="00961BBC"/>
    <w:rsid w:val="00961F17"/>
    <w:rsid w:val="00966C5A"/>
    <w:rsid w:val="009754CD"/>
    <w:rsid w:val="0098091D"/>
    <w:rsid w:val="009856E5"/>
    <w:rsid w:val="00986428"/>
    <w:rsid w:val="00991992"/>
    <w:rsid w:val="00993882"/>
    <w:rsid w:val="009A68EC"/>
    <w:rsid w:val="009B305E"/>
    <w:rsid w:val="009B5748"/>
    <w:rsid w:val="009B6A2F"/>
    <w:rsid w:val="009C154C"/>
    <w:rsid w:val="009C2D89"/>
    <w:rsid w:val="009C4104"/>
    <w:rsid w:val="009C4443"/>
    <w:rsid w:val="009C62F3"/>
    <w:rsid w:val="009D2E5C"/>
    <w:rsid w:val="009D772F"/>
    <w:rsid w:val="009E3735"/>
    <w:rsid w:val="009E582C"/>
    <w:rsid w:val="009F59A8"/>
    <w:rsid w:val="00A13E50"/>
    <w:rsid w:val="00A143AC"/>
    <w:rsid w:val="00A2223C"/>
    <w:rsid w:val="00A22725"/>
    <w:rsid w:val="00A26815"/>
    <w:rsid w:val="00A447DD"/>
    <w:rsid w:val="00A505F0"/>
    <w:rsid w:val="00A52251"/>
    <w:rsid w:val="00A52858"/>
    <w:rsid w:val="00A53647"/>
    <w:rsid w:val="00A55D52"/>
    <w:rsid w:val="00A61632"/>
    <w:rsid w:val="00A65721"/>
    <w:rsid w:val="00A756C9"/>
    <w:rsid w:val="00A769E8"/>
    <w:rsid w:val="00A800C1"/>
    <w:rsid w:val="00AA0F00"/>
    <w:rsid w:val="00AB4F76"/>
    <w:rsid w:val="00AC3BA2"/>
    <w:rsid w:val="00AC52C4"/>
    <w:rsid w:val="00AC7501"/>
    <w:rsid w:val="00AD1AE4"/>
    <w:rsid w:val="00AD51CF"/>
    <w:rsid w:val="00AD6E9B"/>
    <w:rsid w:val="00AE0677"/>
    <w:rsid w:val="00AE5732"/>
    <w:rsid w:val="00AF7C23"/>
    <w:rsid w:val="00B06033"/>
    <w:rsid w:val="00B273B6"/>
    <w:rsid w:val="00B34B01"/>
    <w:rsid w:val="00B35F4C"/>
    <w:rsid w:val="00B55597"/>
    <w:rsid w:val="00B611D2"/>
    <w:rsid w:val="00B700BF"/>
    <w:rsid w:val="00B7399C"/>
    <w:rsid w:val="00B74915"/>
    <w:rsid w:val="00B80386"/>
    <w:rsid w:val="00B85517"/>
    <w:rsid w:val="00B85EDB"/>
    <w:rsid w:val="00B86CF9"/>
    <w:rsid w:val="00B965CB"/>
    <w:rsid w:val="00B96D8F"/>
    <w:rsid w:val="00BA1499"/>
    <w:rsid w:val="00BB79BB"/>
    <w:rsid w:val="00BB7FC8"/>
    <w:rsid w:val="00BC2C1C"/>
    <w:rsid w:val="00BC79E4"/>
    <w:rsid w:val="00BE7EEF"/>
    <w:rsid w:val="00C0474A"/>
    <w:rsid w:val="00C202D9"/>
    <w:rsid w:val="00C264CB"/>
    <w:rsid w:val="00C3281F"/>
    <w:rsid w:val="00C346B2"/>
    <w:rsid w:val="00C45D3F"/>
    <w:rsid w:val="00C53407"/>
    <w:rsid w:val="00C63501"/>
    <w:rsid w:val="00C72BBA"/>
    <w:rsid w:val="00C731A4"/>
    <w:rsid w:val="00C746AB"/>
    <w:rsid w:val="00C75F9B"/>
    <w:rsid w:val="00C821A7"/>
    <w:rsid w:val="00C83206"/>
    <w:rsid w:val="00C840AC"/>
    <w:rsid w:val="00C91A29"/>
    <w:rsid w:val="00C95FA3"/>
    <w:rsid w:val="00C97F57"/>
    <w:rsid w:val="00CA4730"/>
    <w:rsid w:val="00CB2EA2"/>
    <w:rsid w:val="00CB69E1"/>
    <w:rsid w:val="00CC5ADD"/>
    <w:rsid w:val="00CC6BC6"/>
    <w:rsid w:val="00CC7AE4"/>
    <w:rsid w:val="00CD34E0"/>
    <w:rsid w:val="00CD7B4F"/>
    <w:rsid w:val="00CF644C"/>
    <w:rsid w:val="00CF7E6C"/>
    <w:rsid w:val="00D01C6D"/>
    <w:rsid w:val="00D12EB3"/>
    <w:rsid w:val="00D21F45"/>
    <w:rsid w:val="00D279AE"/>
    <w:rsid w:val="00D37EAE"/>
    <w:rsid w:val="00D51A8D"/>
    <w:rsid w:val="00D52B03"/>
    <w:rsid w:val="00D61905"/>
    <w:rsid w:val="00D638B4"/>
    <w:rsid w:val="00D65428"/>
    <w:rsid w:val="00D84991"/>
    <w:rsid w:val="00D90DAA"/>
    <w:rsid w:val="00D93706"/>
    <w:rsid w:val="00D94255"/>
    <w:rsid w:val="00D95659"/>
    <w:rsid w:val="00DA00B3"/>
    <w:rsid w:val="00DA01F3"/>
    <w:rsid w:val="00DA3E8E"/>
    <w:rsid w:val="00DA71C5"/>
    <w:rsid w:val="00DB1FC3"/>
    <w:rsid w:val="00DC42FE"/>
    <w:rsid w:val="00DE1C11"/>
    <w:rsid w:val="00E003FA"/>
    <w:rsid w:val="00E102A4"/>
    <w:rsid w:val="00E150AE"/>
    <w:rsid w:val="00E157EF"/>
    <w:rsid w:val="00E21CA5"/>
    <w:rsid w:val="00E222BC"/>
    <w:rsid w:val="00E24E7C"/>
    <w:rsid w:val="00E27342"/>
    <w:rsid w:val="00E35F5F"/>
    <w:rsid w:val="00E46705"/>
    <w:rsid w:val="00E56398"/>
    <w:rsid w:val="00E56ADF"/>
    <w:rsid w:val="00E60F92"/>
    <w:rsid w:val="00E624A6"/>
    <w:rsid w:val="00E6339B"/>
    <w:rsid w:val="00E724DD"/>
    <w:rsid w:val="00E83536"/>
    <w:rsid w:val="00E92FF6"/>
    <w:rsid w:val="00EA305F"/>
    <w:rsid w:val="00EA5BCD"/>
    <w:rsid w:val="00EB7BA5"/>
    <w:rsid w:val="00EC56D8"/>
    <w:rsid w:val="00ED1FF4"/>
    <w:rsid w:val="00ED7392"/>
    <w:rsid w:val="00EF78F6"/>
    <w:rsid w:val="00F01ACF"/>
    <w:rsid w:val="00F056ED"/>
    <w:rsid w:val="00F111B3"/>
    <w:rsid w:val="00F16C4F"/>
    <w:rsid w:val="00F27EA9"/>
    <w:rsid w:val="00F35544"/>
    <w:rsid w:val="00F47781"/>
    <w:rsid w:val="00F515D8"/>
    <w:rsid w:val="00F64042"/>
    <w:rsid w:val="00F726A3"/>
    <w:rsid w:val="00F754AA"/>
    <w:rsid w:val="00FA297B"/>
    <w:rsid w:val="00FB0B3F"/>
    <w:rsid w:val="00FC07E5"/>
    <w:rsid w:val="00FC1E23"/>
    <w:rsid w:val="00FC7937"/>
    <w:rsid w:val="00FD0734"/>
    <w:rsid w:val="00FD199C"/>
    <w:rsid w:val="00FE6AB3"/>
    <w:rsid w:val="00FE6BB0"/>
    <w:rsid w:val="00FE77E5"/>
    <w:rsid w:val="00FF0349"/>
    <w:rsid w:val="00FF1E56"/>
    <w:rsid w:val="00FF2C20"/>
    <w:rsid w:val="00FF4077"/>
    <w:rsid w:val="00FF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style="mso-fit-shape-to-text:t"/>
    </o:shapedefaults>
    <o:shapelayout v:ext="edit">
      <o:idmap v:ext="edit" data="2"/>
    </o:shapelayout>
  </w:shapeDefaults>
  <w:decimalSymbol w:val="."/>
  <w:listSeparator w:val=","/>
  <w14:docId w14:val="2B6580D9"/>
  <w15:chartTrackingRefBased/>
  <w15:docId w15:val="{D362C74C-2268-4E9B-9761-9B87723D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F46"/>
    <w:pPr>
      <w:spacing w:after="200"/>
    </w:pPr>
    <w:rPr>
      <w:rFonts w:ascii="Calibri" w:hAnsi="Calibri"/>
      <w:szCs w:val="24"/>
      <w:lang w:val="en-US" w:eastAsia="en-US"/>
    </w:rPr>
  </w:style>
  <w:style w:type="paragraph" w:styleId="Heading1">
    <w:name w:val="heading 1"/>
    <w:basedOn w:val="Normal"/>
    <w:next w:val="Normal"/>
    <w:qFormat/>
    <w:rsid w:val="00204F46"/>
    <w:pPr>
      <w:keepNext/>
      <w:keepLines/>
      <w:numPr>
        <w:numId w:val="9"/>
      </w:numPr>
      <w:spacing w:before="360" w:after="240"/>
      <w:contextualSpacing/>
      <w:outlineLvl w:val="0"/>
    </w:pPr>
    <w:rPr>
      <w:rFonts w:cs="Arial"/>
      <w:b/>
      <w:bCs/>
      <w:color w:val="1C437E"/>
      <w:kern w:val="32"/>
      <w:sz w:val="42"/>
      <w:szCs w:val="32"/>
      <w:lang w:val="en-GB"/>
    </w:rPr>
  </w:style>
  <w:style w:type="paragraph" w:styleId="Heading2">
    <w:name w:val="heading 2"/>
    <w:basedOn w:val="Normal"/>
    <w:next w:val="Normal"/>
    <w:link w:val="Heading2Char"/>
    <w:qFormat/>
    <w:rsid w:val="00204F46"/>
    <w:pPr>
      <w:keepNext/>
      <w:keepLines/>
      <w:numPr>
        <w:ilvl w:val="1"/>
        <w:numId w:val="9"/>
      </w:numPr>
      <w:spacing w:before="360" w:after="120"/>
      <w:contextualSpacing/>
      <w:outlineLvl w:val="1"/>
    </w:pPr>
    <w:rPr>
      <w:rFonts w:cs="Arial"/>
      <w:bCs/>
      <w:iCs/>
      <w:color w:val="1C437E"/>
      <w:sz w:val="28"/>
      <w:szCs w:val="28"/>
      <w:lang w:val="en-GB"/>
    </w:rPr>
  </w:style>
  <w:style w:type="paragraph" w:styleId="Heading3">
    <w:name w:val="heading 3"/>
    <w:basedOn w:val="Normal"/>
    <w:next w:val="Normal"/>
    <w:link w:val="Heading3Char"/>
    <w:qFormat/>
    <w:rsid w:val="00204F46"/>
    <w:pPr>
      <w:keepNext/>
      <w:keepLines/>
      <w:numPr>
        <w:ilvl w:val="2"/>
        <w:numId w:val="9"/>
      </w:numPr>
      <w:spacing w:before="240" w:after="120"/>
      <w:contextualSpacing/>
      <w:outlineLvl w:val="2"/>
    </w:pPr>
    <w:rPr>
      <w:rFonts w:cs="Arial"/>
      <w:b/>
      <w:bCs/>
      <w:color w:val="1C437E"/>
      <w:szCs w:val="26"/>
      <w:lang w:val="en-GB"/>
    </w:rPr>
  </w:style>
  <w:style w:type="paragraph" w:styleId="Heading4">
    <w:name w:val="heading 4"/>
    <w:basedOn w:val="Normal"/>
    <w:next w:val="Normal"/>
    <w:qFormat/>
    <w:rsid w:val="00204F46"/>
    <w:pPr>
      <w:keepNext/>
      <w:numPr>
        <w:ilvl w:val="3"/>
        <w:numId w:val="9"/>
      </w:numPr>
      <w:spacing w:before="240" w:after="60"/>
      <w:outlineLvl w:val="3"/>
    </w:pPr>
    <w:rPr>
      <w:rFonts w:ascii="Times New Roman" w:hAnsi="Times New Roman"/>
      <w:b/>
      <w:bCs/>
      <w:sz w:val="28"/>
      <w:szCs w:val="28"/>
    </w:rPr>
  </w:style>
  <w:style w:type="paragraph" w:styleId="Heading5">
    <w:name w:val="heading 5"/>
    <w:basedOn w:val="Normal"/>
    <w:next w:val="Normal"/>
    <w:qFormat/>
    <w:rsid w:val="00204F46"/>
    <w:pPr>
      <w:numPr>
        <w:ilvl w:val="4"/>
        <w:numId w:val="9"/>
      </w:numPr>
      <w:spacing w:before="240" w:after="60"/>
      <w:outlineLvl w:val="4"/>
    </w:pPr>
    <w:rPr>
      <w:b/>
      <w:bCs/>
      <w:i/>
      <w:iCs/>
      <w:sz w:val="26"/>
      <w:szCs w:val="26"/>
    </w:rPr>
  </w:style>
  <w:style w:type="paragraph" w:styleId="Heading6">
    <w:name w:val="heading 6"/>
    <w:basedOn w:val="Normal"/>
    <w:next w:val="Normal"/>
    <w:qFormat/>
    <w:rsid w:val="00204F46"/>
    <w:pPr>
      <w:numPr>
        <w:ilvl w:val="5"/>
        <w:numId w:val="9"/>
      </w:numPr>
      <w:spacing w:before="240" w:after="60"/>
      <w:outlineLvl w:val="5"/>
    </w:pPr>
    <w:rPr>
      <w:rFonts w:ascii="Times New Roman" w:hAnsi="Times New Roman"/>
      <w:b/>
      <w:bCs/>
      <w:sz w:val="22"/>
      <w:szCs w:val="22"/>
    </w:rPr>
  </w:style>
  <w:style w:type="paragraph" w:styleId="Heading7">
    <w:name w:val="heading 7"/>
    <w:basedOn w:val="Normal"/>
    <w:next w:val="Normal"/>
    <w:qFormat/>
    <w:rsid w:val="00204F46"/>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204F46"/>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204F46"/>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23C26"/>
    <w:pPr>
      <w:numPr>
        <w:numId w:val="1"/>
      </w:numPr>
    </w:pPr>
  </w:style>
  <w:style w:type="paragraph" w:styleId="ListBullet">
    <w:name w:val="List Bullet"/>
    <w:basedOn w:val="Normal"/>
    <w:rsid w:val="00223C26"/>
    <w:pPr>
      <w:numPr>
        <w:numId w:val="2"/>
      </w:numPr>
    </w:pPr>
  </w:style>
  <w:style w:type="paragraph" w:styleId="ListBullet3">
    <w:name w:val="List Bullet 3"/>
    <w:basedOn w:val="Normal"/>
    <w:rsid w:val="00223C26"/>
    <w:pPr>
      <w:numPr>
        <w:numId w:val="3"/>
      </w:numPr>
    </w:pPr>
  </w:style>
  <w:style w:type="paragraph" w:styleId="ListBullet5">
    <w:name w:val="List Bullet 5"/>
    <w:basedOn w:val="Normal"/>
    <w:rsid w:val="00223C26"/>
    <w:pPr>
      <w:numPr>
        <w:numId w:val="4"/>
      </w:numPr>
    </w:pPr>
  </w:style>
  <w:style w:type="paragraph" w:styleId="ListBullet2">
    <w:name w:val="List Bullet 2"/>
    <w:basedOn w:val="Normal"/>
    <w:rsid w:val="00C45D3F"/>
    <w:pPr>
      <w:numPr>
        <w:numId w:val="5"/>
      </w:numPr>
    </w:pPr>
  </w:style>
  <w:style w:type="paragraph" w:styleId="ListBullet4">
    <w:name w:val="List Bullet 4"/>
    <w:basedOn w:val="Normal"/>
    <w:rsid w:val="00C45D3F"/>
    <w:pPr>
      <w:numPr>
        <w:numId w:val="6"/>
      </w:numPr>
    </w:pPr>
  </w:style>
  <w:style w:type="paragraph" w:styleId="ListContinue">
    <w:name w:val="List Continue"/>
    <w:basedOn w:val="Normal"/>
    <w:rsid w:val="00953086"/>
    <w:pPr>
      <w:spacing w:after="120"/>
      <w:ind w:left="283"/>
    </w:pPr>
  </w:style>
  <w:style w:type="paragraph" w:styleId="ListNumber">
    <w:name w:val="List Number"/>
    <w:basedOn w:val="Normal"/>
    <w:rsid w:val="00953086"/>
    <w:pPr>
      <w:numPr>
        <w:numId w:val="7"/>
      </w:numPr>
    </w:pPr>
  </w:style>
  <w:style w:type="paragraph" w:styleId="List2">
    <w:name w:val="List 2"/>
    <w:basedOn w:val="Normal"/>
    <w:rsid w:val="00C45D3F"/>
    <w:pPr>
      <w:ind w:left="566" w:hanging="283"/>
    </w:pPr>
  </w:style>
  <w:style w:type="paragraph" w:styleId="Header">
    <w:name w:val="header"/>
    <w:basedOn w:val="Normal"/>
    <w:rsid w:val="00204F46"/>
    <w:pPr>
      <w:tabs>
        <w:tab w:val="center" w:pos="4320"/>
        <w:tab w:val="right" w:pos="8640"/>
      </w:tabs>
      <w:spacing w:after="0"/>
    </w:pPr>
  </w:style>
  <w:style w:type="paragraph" w:styleId="Footer">
    <w:name w:val="footer"/>
    <w:basedOn w:val="Normal"/>
    <w:rsid w:val="00204F46"/>
    <w:pPr>
      <w:tabs>
        <w:tab w:val="right" w:pos="9072"/>
      </w:tabs>
      <w:spacing w:after="0"/>
    </w:pPr>
    <w:rPr>
      <w:color w:val="1C437E"/>
      <w:sz w:val="16"/>
    </w:rPr>
  </w:style>
  <w:style w:type="table" w:styleId="TableGrid">
    <w:name w:val="Table Grid"/>
    <w:basedOn w:val="TableNormal"/>
    <w:rsid w:val="00204F46"/>
    <w:pPr>
      <w:spacing w:after="200"/>
    </w:pPr>
    <w:rPr>
      <w:color w:val="1C437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Subsection Body Text"/>
    <w:basedOn w:val="Normal"/>
    <w:link w:val="BodyTextChar"/>
    <w:rsid w:val="005634CA"/>
    <w:pPr>
      <w:widowControl w:val="0"/>
      <w:ind w:left="720"/>
      <w:jc w:val="both"/>
    </w:pPr>
    <w:rPr>
      <w:snapToGrid w:val="0"/>
      <w:color w:val="000000"/>
      <w:sz w:val="24"/>
    </w:rPr>
  </w:style>
  <w:style w:type="character" w:customStyle="1" w:styleId="BodyTextChar">
    <w:name w:val="Body Text Char"/>
    <w:aliases w:val="Subsection Body Text Char"/>
    <w:link w:val="BodyText"/>
    <w:rsid w:val="005634CA"/>
    <w:rPr>
      <w:rFonts w:ascii="Arial" w:hAnsi="Arial"/>
      <w:snapToGrid w:val="0"/>
      <w:color w:val="000000"/>
      <w:sz w:val="24"/>
      <w:szCs w:val="24"/>
      <w:lang w:val="en-GB" w:eastAsia="en-US" w:bidi="ar-SA"/>
    </w:rPr>
  </w:style>
  <w:style w:type="paragraph" w:styleId="Index1">
    <w:name w:val="index 1"/>
    <w:basedOn w:val="Normal"/>
    <w:next w:val="Normal"/>
    <w:autoRedefine/>
    <w:semiHidden/>
    <w:rsid w:val="005634CA"/>
    <w:pPr>
      <w:ind w:left="200" w:hanging="200"/>
    </w:pPr>
    <w:rPr>
      <w:rFonts w:ascii="Times New Roman" w:hAnsi="Times New Roman"/>
      <w:szCs w:val="20"/>
    </w:rPr>
  </w:style>
  <w:style w:type="paragraph" w:customStyle="1" w:styleId="TableHeaderBold">
    <w:name w:val="Table Header Bold"/>
    <w:basedOn w:val="Normal"/>
    <w:rsid w:val="001278EA"/>
    <w:pPr>
      <w:spacing w:before="120" w:after="120"/>
    </w:pPr>
    <w:rPr>
      <w:rFonts w:ascii="Univers 45 Light" w:hAnsi="Univers 45 Light"/>
      <w:b/>
      <w:bCs/>
      <w:szCs w:val="20"/>
    </w:rPr>
  </w:style>
  <w:style w:type="paragraph" w:customStyle="1" w:styleId="Tabletext">
    <w:name w:val="Table text"/>
    <w:basedOn w:val="Normal"/>
    <w:rsid w:val="001278EA"/>
    <w:pPr>
      <w:spacing w:before="120" w:after="120"/>
      <w:ind w:left="176"/>
    </w:pPr>
    <w:rPr>
      <w:sz w:val="24"/>
    </w:rPr>
  </w:style>
  <w:style w:type="paragraph" w:customStyle="1" w:styleId="MandatoryRequirementbold">
    <w:name w:val="Mandatory Requirement bold"/>
    <w:basedOn w:val="Normal"/>
    <w:rsid w:val="00A61632"/>
    <w:pPr>
      <w:spacing w:before="120" w:after="120"/>
    </w:pPr>
    <w:rPr>
      <w:rFonts w:ascii="Univers 45 Light" w:hAnsi="Univers 45 Light"/>
      <w:b/>
    </w:rPr>
  </w:style>
  <w:style w:type="paragraph" w:customStyle="1" w:styleId="TextSection">
    <w:name w:val="Text Section"/>
    <w:basedOn w:val="Normal"/>
    <w:link w:val="TextSectionChar"/>
    <w:rsid w:val="00A61632"/>
    <w:pPr>
      <w:spacing w:before="60" w:after="240"/>
      <w:ind w:left="567"/>
    </w:pPr>
    <w:rPr>
      <w:sz w:val="22"/>
    </w:rPr>
  </w:style>
  <w:style w:type="character" w:customStyle="1" w:styleId="TextSectionChar">
    <w:name w:val="Text Section Char"/>
    <w:link w:val="TextSection"/>
    <w:rsid w:val="00A61632"/>
    <w:rPr>
      <w:rFonts w:ascii="Arial" w:hAnsi="Arial"/>
      <w:sz w:val="22"/>
      <w:szCs w:val="24"/>
      <w:lang w:val="en-GB" w:eastAsia="en-US" w:bidi="ar-SA"/>
    </w:rPr>
  </w:style>
  <w:style w:type="paragraph" w:customStyle="1" w:styleId="DefaultText">
    <w:name w:val="Default Text"/>
    <w:basedOn w:val="Normal"/>
    <w:link w:val="DefaultTextChar"/>
    <w:rsid w:val="008C24F2"/>
    <w:pPr>
      <w:spacing w:line="240" w:lineRule="atLeast"/>
      <w:jc w:val="both"/>
    </w:pPr>
    <w:rPr>
      <w:rFonts w:ascii="Tms Rmn" w:hAnsi="Tms Rmn"/>
      <w:sz w:val="24"/>
    </w:rPr>
  </w:style>
  <w:style w:type="numbering" w:customStyle="1" w:styleId="Style1">
    <w:name w:val="Style1"/>
    <w:rsid w:val="00176073"/>
    <w:pPr>
      <w:numPr>
        <w:numId w:val="8"/>
      </w:numPr>
    </w:pPr>
  </w:style>
  <w:style w:type="character" w:customStyle="1" w:styleId="DefaultTextChar">
    <w:name w:val="Default Text Char"/>
    <w:link w:val="DefaultText"/>
    <w:rsid w:val="008C24F2"/>
    <w:rPr>
      <w:rFonts w:ascii="Tms Rmn" w:hAnsi="Tms Rmn"/>
      <w:sz w:val="24"/>
      <w:szCs w:val="24"/>
      <w:lang w:val="en-GB" w:eastAsia="en-GB" w:bidi="ar-SA"/>
    </w:rPr>
  </w:style>
  <w:style w:type="character" w:styleId="Hyperlink">
    <w:name w:val="Hyperlink"/>
    <w:uiPriority w:val="99"/>
    <w:rsid w:val="00204F46"/>
    <w:rPr>
      <w:color w:val="0000FF"/>
      <w:u w:val="single"/>
    </w:rPr>
  </w:style>
  <w:style w:type="character" w:styleId="Strong">
    <w:name w:val="Strong"/>
    <w:qFormat/>
    <w:rsid w:val="00C53407"/>
    <w:rPr>
      <w:b/>
      <w:bCs/>
    </w:rPr>
  </w:style>
  <w:style w:type="paragraph" w:customStyle="1" w:styleId="Author">
    <w:name w:val="Author"/>
    <w:basedOn w:val="Normal"/>
    <w:rsid w:val="00204F46"/>
    <w:rPr>
      <w:color w:val="1C437E"/>
    </w:rPr>
  </w:style>
  <w:style w:type="paragraph" w:customStyle="1" w:styleId="Applies">
    <w:name w:val="Applies"/>
    <w:basedOn w:val="Author"/>
    <w:rsid w:val="00204F46"/>
  </w:style>
  <w:style w:type="paragraph" w:styleId="BalloonText">
    <w:name w:val="Balloon Text"/>
    <w:basedOn w:val="Normal"/>
    <w:rsid w:val="00204F46"/>
    <w:pPr>
      <w:spacing w:after="0"/>
    </w:pPr>
    <w:rPr>
      <w:rFonts w:ascii="Tahoma" w:hAnsi="Tahoma" w:cs="Tahoma"/>
      <w:sz w:val="16"/>
      <w:szCs w:val="16"/>
    </w:rPr>
  </w:style>
  <w:style w:type="paragraph" w:customStyle="1" w:styleId="Bullet1">
    <w:name w:val="Bullet1"/>
    <w:basedOn w:val="Normal"/>
    <w:rsid w:val="00204F46"/>
    <w:pPr>
      <w:numPr>
        <w:numId w:val="10"/>
      </w:numPr>
    </w:pPr>
    <w:rPr>
      <w:lang w:val="en-GB"/>
    </w:rPr>
  </w:style>
  <w:style w:type="paragraph" w:customStyle="1" w:styleId="Bullet2">
    <w:name w:val="Bullet2"/>
    <w:basedOn w:val="Normal"/>
    <w:rsid w:val="00204F46"/>
    <w:pPr>
      <w:numPr>
        <w:ilvl w:val="1"/>
        <w:numId w:val="10"/>
      </w:numPr>
    </w:pPr>
  </w:style>
  <w:style w:type="paragraph" w:customStyle="1" w:styleId="DocDesc">
    <w:name w:val="DocDesc"/>
    <w:basedOn w:val="Normal"/>
    <w:link w:val="DocDescChar"/>
    <w:rsid w:val="00204F46"/>
    <w:pPr>
      <w:spacing w:after="240"/>
    </w:pPr>
    <w:rPr>
      <w:b/>
      <w:color w:val="1C437E"/>
      <w:sz w:val="28"/>
    </w:rPr>
  </w:style>
  <w:style w:type="paragraph" w:styleId="Revision">
    <w:name w:val="Revision"/>
    <w:basedOn w:val="DocDesc"/>
    <w:link w:val="RevisionChar"/>
    <w:rsid w:val="00204F46"/>
  </w:style>
  <w:style w:type="paragraph" w:customStyle="1" w:styleId="Classification">
    <w:name w:val="Classification"/>
    <w:basedOn w:val="Revision"/>
    <w:link w:val="ClassificationChar"/>
    <w:rsid w:val="00204F46"/>
  </w:style>
  <w:style w:type="character" w:customStyle="1" w:styleId="DocDescChar">
    <w:name w:val="DocDesc Char"/>
    <w:link w:val="DocDesc"/>
    <w:rsid w:val="00204F46"/>
    <w:rPr>
      <w:rFonts w:ascii="Calibri" w:hAnsi="Calibri"/>
      <w:b/>
      <w:color w:val="1C437E"/>
      <w:sz w:val="28"/>
      <w:szCs w:val="24"/>
      <w:lang w:val="en-US" w:eastAsia="en-US" w:bidi="ar-SA"/>
    </w:rPr>
  </w:style>
  <w:style w:type="character" w:customStyle="1" w:styleId="RevisionChar">
    <w:name w:val="Revision Char"/>
    <w:basedOn w:val="DocDescChar"/>
    <w:link w:val="Revision"/>
    <w:rsid w:val="00204F46"/>
    <w:rPr>
      <w:rFonts w:ascii="Calibri" w:hAnsi="Calibri"/>
      <w:b/>
      <w:color w:val="1C437E"/>
      <w:sz w:val="28"/>
      <w:szCs w:val="24"/>
      <w:lang w:val="en-US" w:eastAsia="en-US" w:bidi="ar-SA"/>
    </w:rPr>
  </w:style>
  <w:style w:type="character" w:customStyle="1" w:styleId="ClassificationChar">
    <w:name w:val="Classification Char"/>
    <w:basedOn w:val="RevisionChar"/>
    <w:link w:val="Classification"/>
    <w:rsid w:val="00204F46"/>
    <w:rPr>
      <w:rFonts w:ascii="Calibri" w:hAnsi="Calibri"/>
      <w:b/>
      <w:color w:val="1C437E"/>
      <w:sz w:val="28"/>
      <w:szCs w:val="24"/>
      <w:lang w:val="en-US" w:eastAsia="en-US" w:bidi="ar-SA"/>
    </w:rPr>
  </w:style>
  <w:style w:type="paragraph" w:customStyle="1" w:styleId="DocTitle">
    <w:name w:val="DocTitle"/>
    <w:basedOn w:val="Normal"/>
    <w:next w:val="DocDesc"/>
    <w:rsid w:val="00204F46"/>
    <w:pPr>
      <w:spacing w:before="360" w:after="240"/>
    </w:pPr>
    <w:rPr>
      <w:b/>
      <w:color w:val="1C437E"/>
      <w:sz w:val="72"/>
      <w:lang w:val="en-GB"/>
    </w:rPr>
  </w:style>
  <w:style w:type="paragraph" w:customStyle="1" w:styleId="DocumentInformation">
    <w:name w:val="DocumentInformation"/>
    <w:basedOn w:val="DocDesc"/>
    <w:rsid w:val="00204F46"/>
    <w:rPr>
      <w:lang w:val="en-GB"/>
    </w:rPr>
  </w:style>
  <w:style w:type="paragraph" w:customStyle="1" w:styleId="Heading1NoToC">
    <w:name w:val="Heading 1NoToC"/>
    <w:basedOn w:val="Heading1"/>
    <w:rsid w:val="00204F46"/>
    <w:pPr>
      <w:numPr>
        <w:numId w:val="0"/>
      </w:numPr>
      <w:outlineLvl w:val="9"/>
    </w:pPr>
  </w:style>
  <w:style w:type="paragraph" w:customStyle="1" w:styleId="Heading1Numb">
    <w:name w:val="Heading 1Numb"/>
    <w:basedOn w:val="Heading1"/>
    <w:next w:val="Normal"/>
    <w:rsid w:val="00204F46"/>
    <w:pPr>
      <w:numPr>
        <w:numId w:val="11"/>
      </w:numPr>
    </w:pPr>
  </w:style>
  <w:style w:type="paragraph" w:customStyle="1" w:styleId="Heading2NoToC">
    <w:name w:val="Heading 2NoToC"/>
    <w:basedOn w:val="Heading2"/>
    <w:next w:val="Normal"/>
    <w:rsid w:val="00204F46"/>
    <w:pPr>
      <w:numPr>
        <w:ilvl w:val="0"/>
        <w:numId w:val="0"/>
      </w:numPr>
      <w:outlineLvl w:val="9"/>
    </w:pPr>
  </w:style>
  <w:style w:type="paragraph" w:customStyle="1" w:styleId="HeadingNoNumberNoToc">
    <w:name w:val="HeadingNoNumberNoToc"/>
    <w:rsid w:val="00204F46"/>
    <w:pPr>
      <w:spacing w:after="240"/>
    </w:pPr>
    <w:rPr>
      <w:rFonts w:ascii="Calibri" w:hAnsi="Calibri" w:cs="Arial"/>
      <w:b/>
      <w:bCs/>
      <w:color w:val="1C437E"/>
      <w:kern w:val="32"/>
      <w:sz w:val="42"/>
      <w:szCs w:val="32"/>
      <w:lang w:val="en-US" w:eastAsia="en-US"/>
    </w:rPr>
  </w:style>
  <w:style w:type="paragraph" w:customStyle="1" w:styleId="ImageTitle">
    <w:name w:val="ImageTitle"/>
    <w:basedOn w:val="Normal"/>
    <w:rsid w:val="00204F46"/>
    <w:pPr>
      <w:spacing w:after="0"/>
    </w:pPr>
    <w:rPr>
      <w:color w:val="1C437E"/>
      <w:lang w:val="en-GB"/>
    </w:rPr>
  </w:style>
  <w:style w:type="paragraph" w:customStyle="1" w:styleId="Intro">
    <w:name w:val="Intro"/>
    <w:basedOn w:val="Normal"/>
    <w:next w:val="Normal"/>
    <w:rsid w:val="00204F46"/>
    <w:pPr>
      <w:spacing w:after="240"/>
    </w:pPr>
    <w:rPr>
      <w:sz w:val="28"/>
    </w:rPr>
  </w:style>
  <w:style w:type="paragraph" w:customStyle="1" w:styleId="IssueDate">
    <w:name w:val="IssueDate"/>
    <w:basedOn w:val="Normal"/>
    <w:rsid w:val="00204F46"/>
    <w:rPr>
      <w:color w:val="1C437E"/>
    </w:rPr>
  </w:style>
  <w:style w:type="paragraph" w:customStyle="1" w:styleId="Legal">
    <w:name w:val="Legal"/>
    <w:basedOn w:val="Normal"/>
    <w:rsid w:val="00204F46"/>
    <w:pPr>
      <w:tabs>
        <w:tab w:val="left" w:pos="567"/>
      </w:tabs>
      <w:ind w:left="567" w:hanging="567"/>
    </w:pPr>
    <w:rPr>
      <w:lang w:val="en-GB"/>
    </w:rPr>
  </w:style>
  <w:style w:type="paragraph" w:customStyle="1" w:styleId="NormalIndent1">
    <w:name w:val="NormalIndent1"/>
    <w:basedOn w:val="Normal"/>
    <w:rsid w:val="00204F46"/>
    <w:pPr>
      <w:ind w:left="340"/>
    </w:pPr>
  </w:style>
  <w:style w:type="paragraph" w:customStyle="1" w:styleId="NormalIndent2">
    <w:name w:val="NormalIndent2"/>
    <w:basedOn w:val="Normal"/>
    <w:rsid w:val="00204F46"/>
    <w:pPr>
      <w:ind w:left="680"/>
    </w:pPr>
    <w:rPr>
      <w:lang w:val="en-GB"/>
    </w:rPr>
  </w:style>
  <w:style w:type="paragraph" w:customStyle="1" w:styleId="NormalNoSpace">
    <w:name w:val="NormalNoSpace"/>
    <w:basedOn w:val="Normal"/>
    <w:next w:val="Normal"/>
    <w:link w:val="NormalNoSpaceChar"/>
    <w:rsid w:val="00204F46"/>
    <w:pPr>
      <w:tabs>
        <w:tab w:val="left" w:pos="1276"/>
      </w:tabs>
      <w:spacing w:after="0"/>
    </w:pPr>
    <w:rPr>
      <w:lang w:val="en-GB"/>
    </w:rPr>
  </w:style>
  <w:style w:type="character" w:customStyle="1" w:styleId="NormalNoSpaceChar">
    <w:name w:val="NormalNoSpace Char"/>
    <w:link w:val="NormalNoSpace"/>
    <w:locked/>
    <w:rsid w:val="00204F46"/>
    <w:rPr>
      <w:rFonts w:ascii="Calibri" w:hAnsi="Calibri"/>
      <w:szCs w:val="24"/>
      <w:lang w:val="en-GB" w:eastAsia="en-US" w:bidi="ar-SA"/>
    </w:rPr>
  </w:style>
  <w:style w:type="paragraph" w:customStyle="1" w:styleId="NumbList1">
    <w:name w:val="NumbList1"/>
    <w:basedOn w:val="Normal"/>
    <w:rsid w:val="00204F46"/>
    <w:pPr>
      <w:numPr>
        <w:numId w:val="12"/>
      </w:numPr>
    </w:pPr>
    <w:rPr>
      <w:noProof/>
      <w:lang w:val="en-GB"/>
    </w:rPr>
  </w:style>
  <w:style w:type="paragraph" w:customStyle="1" w:styleId="NumbList2">
    <w:name w:val="NumbList2"/>
    <w:basedOn w:val="Normal"/>
    <w:rsid w:val="00204F46"/>
    <w:pPr>
      <w:numPr>
        <w:ilvl w:val="1"/>
        <w:numId w:val="12"/>
      </w:numPr>
    </w:pPr>
  </w:style>
  <w:style w:type="numbering" w:customStyle="1" w:styleId="NumbLstBullet">
    <w:name w:val="NumbLstBullet"/>
    <w:rsid w:val="00204F46"/>
    <w:pPr>
      <w:numPr>
        <w:numId w:val="10"/>
      </w:numPr>
    </w:pPr>
  </w:style>
  <w:style w:type="numbering" w:customStyle="1" w:styleId="NumbLstMain">
    <w:name w:val="NumbLstMain"/>
    <w:rsid w:val="00204F46"/>
    <w:pPr>
      <w:numPr>
        <w:numId w:val="11"/>
      </w:numPr>
    </w:pPr>
  </w:style>
  <w:style w:type="numbering" w:customStyle="1" w:styleId="NumbLstNumb">
    <w:name w:val="NumbLstNumb"/>
    <w:rsid w:val="00204F46"/>
    <w:pPr>
      <w:numPr>
        <w:numId w:val="12"/>
      </w:numPr>
    </w:pPr>
  </w:style>
  <w:style w:type="character" w:styleId="PageNumber">
    <w:name w:val="page number"/>
    <w:basedOn w:val="DefaultParagraphFont"/>
    <w:rsid w:val="00204F46"/>
  </w:style>
  <w:style w:type="paragraph" w:customStyle="1" w:styleId="QuoteText">
    <w:name w:val="QuoteText"/>
    <w:basedOn w:val="Normal"/>
    <w:rsid w:val="00204F46"/>
    <w:pPr>
      <w:pBdr>
        <w:top w:val="single" w:sz="4" w:space="5" w:color="1C437E"/>
        <w:bottom w:val="single" w:sz="4" w:space="5" w:color="1C437E"/>
      </w:pBdr>
      <w:spacing w:after="120"/>
      <w:ind w:left="851" w:right="851"/>
    </w:pPr>
    <w:rPr>
      <w:color w:val="1C437E"/>
      <w:sz w:val="16"/>
    </w:rPr>
  </w:style>
  <w:style w:type="paragraph" w:customStyle="1" w:styleId="QuoteSource">
    <w:name w:val="QuoteSource"/>
    <w:basedOn w:val="QuoteText"/>
    <w:next w:val="Normal"/>
    <w:rsid w:val="00204F46"/>
    <w:rPr>
      <w:b/>
      <w:lang w:val="en-GB"/>
    </w:rPr>
  </w:style>
  <w:style w:type="character" w:customStyle="1" w:styleId="Shortcut">
    <w:name w:val="Shortcut"/>
    <w:rsid w:val="00204F46"/>
    <w:rPr>
      <w:color w:val="4099D4"/>
    </w:rPr>
  </w:style>
  <w:style w:type="paragraph" w:customStyle="1" w:styleId="Status">
    <w:name w:val="Status"/>
    <w:basedOn w:val="IssueDate"/>
    <w:rsid w:val="00204F46"/>
  </w:style>
  <w:style w:type="character" w:customStyle="1" w:styleId="StyleName">
    <w:name w:val="StyleName"/>
    <w:rsid w:val="00204F46"/>
    <w:rPr>
      <w:color w:val="469638"/>
      <w:lang w:val="en-GB"/>
    </w:rPr>
  </w:style>
  <w:style w:type="table" w:styleId="TableClassic3">
    <w:name w:val="Table Classic 3"/>
    <w:basedOn w:val="TableNormal"/>
    <w:rsid w:val="00204F46"/>
    <w:rPr>
      <w:rFonts w:ascii="Calibri" w:hAnsi="Calibri"/>
      <w:color w:val="000080"/>
      <w:sz w:val="14"/>
    </w:rPr>
    <w:tblPr>
      <w:tblStyleRowBandSize w:val="1"/>
      <w:tblBorders>
        <w:insideH w:val="single" w:sz="4" w:space="0" w:color="FFFFFF"/>
      </w:tblBorders>
      <w:tblCellMar>
        <w:top w:w="85" w:type="dxa"/>
        <w:left w:w="85" w:type="dxa"/>
        <w:bottom w:w="85" w:type="dxa"/>
        <w:right w:w="85" w:type="dxa"/>
      </w:tblCellMar>
    </w:tblPr>
    <w:tcPr>
      <w:shd w:val="solid" w:color="C0C0C0" w:fill="FFFFFF"/>
      <w:vAlign w:val="center"/>
    </w:tcPr>
    <w:tblStylePr w:type="firstRow">
      <w:pPr>
        <w:wordWrap/>
        <w:spacing w:beforeLines="0" w:before="0" w:beforeAutospacing="0" w:afterLines="0" w:after="0" w:afterAutospacing="0"/>
        <w:contextualSpacing w:val="0"/>
        <w:jc w:val="left"/>
      </w:pPr>
      <w:rPr>
        <w:rFonts w:ascii="DengXian" w:hAnsi="DengXian"/>
        <w:b/>
        <w:bCs/>
        <w:i w:val="0"/>
        <w:iCs/>
        <w:color w:val="FFFFFF"/>
        <w:sz w:val="16"/>
      </w:rPr>
      <w:tblPr/>
      <w:tcPr>
        <w:shd w:val="clear" w:color="auto" w:fill="004687"/>
      </w:tcPr>
    </w:tblStylePr>
    <w:tblStylePr w:type="lastRow">
      <w:pPr>
        <w:wordWrap/>
        <w:spacing w:beforeLines="0" w:before="0" w:beforeAutospacing="0" w:afterLines="0" w:after="0" w:afterAutospacing="0"/>
        <w:contextualSpacing w:val="0"/>
      </w:pPr>
      <w:rPr>
        <w:rFonts w:ascii="DengXian" w:hAnsi="DengXian"/>
        <w:color w:val="000080"/>
        <w:sz w:val="14"/>
      </w:rPr>
      <w:tblPr/>
      <w:tcPr>
        <w:shd w:val="clear" w:color="auto" w:fill="A0C6E9"/>
      </w:tcPr>
    </w:tblStylePr>
    <w:tblStylePr w:type="firstCol">
      <w:rPr>
        <w:rFonts w:ascii="DengXian" w:hAnsi="DengXian"/>
        <w:b w:val="0"/>
        <w:bCs/>
        <w:color w:val="004687"/>
        <w:sz w:val="14"/>
      </w:rPr>
      <w:tblPr/>
      <w:tcPr>
        <w:tcBorders>
          <w:tl2br w:val="none" w:sz="0" w:space="0" w:color="auto"/>
          <w:tr2bl w:val="none" w:sz="0" w:space="0" w:color="auto"/>
        </w:tcBorders>
      </w:tcPr>
    </w:tblStylePr>
    <w:tblStylePr w:type="band1Horz">
      <w:pPr>
        <w:wordWrap/>
        <w:spacing w:beforeLines="0" w:before="0" w:beforeAutospacing="0" w:afterLines="0" w:after="0" w:afterAutospacing="0"/>
        <w:contextualSpacing w:val="0"/>
      </w:pPr>
      <w:rPr>
        <w:rFonts w:ascii="DengXian" w:hAnsi="DengXian"/>
        <w:color w:val="004687"/>
        <w:sz w:val="14"/>
      </w:rPr>
      <w:tblPr/>
      <w:tcPr>
        <w:shd w:val="clear" w:color="auto" w:fill="A0C6E9"/>
      </w:tcPr>
    </w:tblStylePr>
    <w:tblStylePr w:type="band2Horz">
      <w:pPr>
        <w:wordWrap/>
        <w:spacing w:beforeLines="0" w:before="0" w:beforeAutospacing="0" w:afterLines="0" w:after="0" w:afterAutospacing="0"/>
        <w:contextualSpacing w:val="0"/>
      </w:pPr>
      <w:rPr>
        <w:rFonts w:ascii="DengXian" w:hAnsi="DengXian"/>
        <w:color w:val="004687"/>
        <w:sz w:val="14"/>
      </w:rPr>
      <w:tblPr/>
      <w:tcPr>
        <w:shd w:val="clear" w:color="auto" w:fill="A0C6E9"/>
      </w:tcPr>
    </w:tblStylePr>
  </w:style>
  <w:style w:type="paragraph" w:customStyle="1" w:styleId="TableHeading">
    <w:name w:val="TableHeading"/>
    <w:basedOn w:val="Normal"/>
    <w:rsid w:val="00204F46"/>
    <w:pPr>
      <w:spacing w:after="85"/>
    </w:pPr>
    <w:rPr>
      <w:b/>
      <w:color w:val="FFFFFF"/>
      <w:sz w:val="18"/>
      <w:lang w:val="en-GB"/>
    </w:rPr>
  </w:style>
  <w:style w:type="paragraph" w:customStyle="1" w:styleId="TableMidBlue">
    <w:name w:val="TableMidBlue"/>
    <w:basedOn w:val="Normal"/>
    <w:rsid w:val="00204F46"/>
    <w:pPr>
      <w:spacing w:after="85"/>
      <w:ind w:left="113" w:right="113"/>
    </w:pPr>
    <w:rPr>
      <w:b/>
      <w:color w:val="FFFFFF"/>
      <w:sz w:val="16"/>
      <w:lang w:val="en-GB"/>
    </w:rPr>
  </w:style>
  <w:style w:type="paragraph" w:customStyle="1" w:styleId="TableSource">
    <w:name w:val="TableSource"/>
    <w:basedOn w:val="Normal"/>
    <w:next w:val="Normal"/>
    <w:rsid w:val="00204F46"/>
    <w:rPr>
      <w:i/>
      <w:lang w:val="en-GB"/>
    </w:rPr>
  </w:style>
  <w:style w:type="paragraph" w:customStyle="1" w:styleId="TableText0">
    <w:name w:val="TableText"/>
    <w:basedOn w:val="Normal"/>
    <w:link w:val="TableTextChar"/>
    <w:rsid w:val="00204F46"/>
    <w:pPr>
      <w:spacing w:after="0"/>
    </w:pPr>
    <w:rPr>
      <w:bCs/>
      <w:color w:val="000080"/>
      <w:sz w:val="18"/>
      <w:lang w:val="en-GB"/>
    </w:rPr>
  </w:style>
  <w:style w:type="character" w:customStyle="1" w:styleId="TableTextChar">
    <w:name w:val="TableText Char"/>
    <w:link w:val="TableText0"/>
    <w:rsid w:val="00204F46"/>
    <w:rPr>
      <w:rFonts w:ascii="Calibri" w:hAnsi="Calibri"/>
      <w:bCs/>
      <w:color w:val="000080"/>
      <w:sz w:val="18"/>
      <w:szCs w:val="24"/>
      <w:lang w:val="en-GB" w:eastAsia="en-US" w:bidi="ar-SA"/>
    </w:rPr>
  </w:style>
  <w:style w:type="paragraph" w:customStyle="1" w:styleId="TableTitle">
    <w:name w:val="TableTitle"/>
    <w:basedOn w:val="Normal"/>
    <w:rsid w:val="00204F46"/>
    <w:pPr>
      <w:spacing w:after="0"/>
    </w:pPr>
    <w:rPr>
      <w:b/>
      <w:color w:val="1C437E"/>
      <w:lang w:val="en-GB"/>
    </w:rPr>
  </w:style>
  <w:style w:type="paragraph" w:styleId="TOC1">
    <w:name w:val="toc 1"/>
    <w:basedOn w:val="Normal"/>
    <w:next w:val="Normal"/>
    <w:autoRedefine/>
    <w:rsid w:val="00204F46"/>
    <w:pPr>
      <w:tabs>
        <w:tab w:val="right" w:leader="dot" w:pos="9061"/>
      </w:tabs>
      <w:spacing w:before="240" w:after="0"/>
    </w:pPr>
    <w:rPr>
      <w:color w:val="1C437E"/>
      <w:sz w:val="24"/>
    </w:rPr>
  </w:style>
  <w:style w:type="paragraph" w:styleId="TOC2">
    <w:name w:val="toc 2"/>
    <w:basedOn w:val="Normal"/>
    <w:next w:val="Normal"/>
    <w:autoRedefine/>
    <w:rsid w:val="00204F46"/>
    <w:pPr>
      <w:tabs>
        <w:tab w:val="right" w:leader="dot" w:pos="9061"/>
      </w:tabs>
      <w:spacing w:before="120" w:after="0"/>
      <w:ind w:left="198"/>
    </w:pPr>
  </w:style>
  <w:style w:type="paragraph" w:styleId="TOC3">
    <w:name w:val="toc 3"/>
    <w:basedOn w:val="Normal"/>
    <w:next w:val="Normal"/>
    <w:autoRedefine/>
    <w:semiHidden/>
    <w:rsid w:val="00204F46"/>
    <w:pPr>
      <w:tabs>
        <w:tab w:val="right" w:leader="dot" w:pos="9061"/>
      </w:tabs>
      <w:spacing w:after="0"/>
      <w:ind w:left="403"/>
    </w:pPr>
  </w:style>
  <w:style w:type="paragraph" w:styleId="TOC4">
    <w:name w:val="toc 4"/>
    <w:basedOn w:val="Normal"/>
    <w:next w:val="Normal"/>
    <w:autoRedefine/>
    <w:semiHidden/>
    <w:rsid w:val="00204F46"/>
    <w:pPr>
      <w:ind w:left="600"/>
    </w:pPr>
  </w:style>
  <w:style w:type="paragraph" w:styleId="TOC5">
    <w:name w:val="toc 5"/>
    <w:basedOn w:val="Normal"/>
    <w:next w:val="Normal"/>
    <w:autoRedefine/>
    <w:semiHidden/>
    <w:rsid w:val="00204F46"/>
    <w:pPr>
      <w:ind w:left="800"/>
    </w:pPr>
  </w:style>
  <w:style w:type="paragraph" w:styleId="TOC6">
    <w:name w:val="toc 6"/>
    <w:basedOn w:val="Normal"/>
    <w:next w:val="Normal"/>
    <w:autoRedefine/>
    <w:semiHidden/>
    <w:rsid w:val="00204F46"/>
    <w:pPr>
      <w:ind w:left="1000"/>
    </w:pPr>
  </w:style>
  <w:style w:type="paragraph" w:styleId="TOC7">
    <w:name w:val="toc 7"/>
    <w:basedOn w:val="Normal"/>
    <w:next w:val="Normal"/>
    <w:autoRedefine/>
    <w:semiHidden/>
    <w:rsid w:val="00204F46"/>
    <w:pPr>
      <w:ind w:left="1200"/>
    </w:pPr>
  </w:style>
  <w:style w:type="paragraph" w:styleId="TOC8">
    <w:name w:val="toc 8"/>
    <w:basedOn w:val="Normal"/>
    <w:next w:val="Normal"/>
    <w:autoRedefine/>
    <w:semiHidden/>
    <w:rsid w:val="00204F46"/>
    <w:pPr>
      <w:ind w:left="1400"/>
    </w:pPr>
  </w:style>
  <w:style w:type="paragraph" w:styleId="TOC9">
    <w:name w:val="toc 9"/>
    <w:basedOn w:val="Normal"/>
    <w:next w:val="Normal"/>
    <w:autoRedefine/>
    <w:semiHidden/>
    <w:rsid w:val="00204F46"/>
    <w:pPr>
      <w:ind w:left="1600"/>
    </w:pPr>
  </w:style>
  <w:style w:type="paragraph" w:styleId="FootnoteText">
    <w:name w:val="footnote text"/>
    <w:basedOn w:val="Normal"/>
    <w:link w:val="FootnoteTextChar"/>
    <w:rsid w:val="00C821A7"/>
    <w:rPr>
      <w:szCs w:val="20"/>
    </w:rPr>
  </w:style>
  <w:style w:type="character" w:customStyle="1" w:styleId="FootnoteTextChar">
    <w:name w:val="Footnote Text Char"/>
    <w:link w:val="FootnoteText"/>
    <w:rsid w:val="00C821A7"/>
    <w:rPr>
      <w:rFonts w:ascii="Calibri" w:hAnsi="Calibri"/>
      <w:lang w:val="en-US" w:eastAsia="en-US"/>
    </w:rPr>
  </w:style>
  <w:style w:type="character" w:styleId="FootnoteReference">
    <w:name w:val="footnote reference"/>
    <w:rsid w:val="00C821A7"/>
    <w:rPr>
      <w:vertAlign w:val="superscript"/>
    </w:rPr>
  </w:style>
  <w:style w:type="character" w:customStyle="1" w:styleId="Heading3Char">
    <w:name w:val="Heading 3 Char"/>
    <w:link w:val="Heading3"/>
    <w:rsid w:val="00920199"/>
    <w:rPr>
      <w:rFonts w:ascii="Calibri" w:hAnsi="Calibri" w:cs="Arial"/>
      <w:b/>
      <w:bCs/>
      <w:color w:val="1C437E"/>
      <w:szCs w:val="26"/>
      <w:lang w:eastAsia="en-US"/>
    </w:rPr>
  </w:style>
  <w:style w:type="paragraph" w:styleId="ListParagraph">
    <w:name w:val="List Paragraph"/>
    <w:basedOn w:val="Normal"/>
    <w:uiPriority w:val="34"/>
    <w:qFormat/>
    <w:rsid w:val="00920199"/>
    <w:pPr>
      <w:ind w:left="720"/>
    </w:pPr>
  </w:style>
  <w:style w:type="character" w:customStyle="1" w:styleId="Heading2Char">
    <w:name w:val="Heading 2 Char"/>
    <w:link w:val="Heading2"/>
    <w:rsid w:val="00A2223C"/>
    <w:rPr>
      <w:rFonts w:ascii="Calibri" w:hAnsi="Calibri" w:cs="Arial"/>
      <w:bCs/>
      <w:iCs/>
      <w:color w:val="1C437E"/>
      <w:sz w:val="28"/>
      <w:szCs w:val="28"/>
      <w:lang w:eastAsia="en-US"/>
    </w:rPr>
  </w:style>
  <w:style w:type="paragraph" w:customStyle="1" w:styleId="Default">
    <w:name w:val="Default"/>
    <w:rsid w:val="00F35544"/>
    <w:pPr>
      <w:autoSpaceDE w:val="0"/>
      <w:autoSpaceDN w:val="0"/>
      <w:adjustRightInd w:val="0"/>
    </w:pPr>
    <w:rPr>
      <w:rFonts w:ascii="Open Sans" w:hAnsi="Open Sans" w:cs="Open Sans"/>
      <w:color w:val="000000"/>
      <w:sz w:val="24"/>
      <w:szCs w:val="24"/>
      <w:lang w:eastAsia="en-US"/>
    </w:rPr>
  </w:style>
  <w:style w:type="paragraph" w:customStyle="1" w:styleId="Pa12">
    <w:name w:val="Pa12"/>
    <w:basedOn w:val="Default"/>
    <w:next w:val="Default"/>
    <w:uiPriority w:val="99"/>
    <w:rsid w:val="00F35544"/>
    <w:pPr>
      <w:spacing w:line="171" w:lineRule="atLeast"/>
    </w:pPr>
    <w:rPr>
      <w:rFonts w:cs="Times New Roman"/>
      <w:color w:val="auto"/>
    </w:rPr>
  </w:style>
  <w:style w:type="paragraph" w:customStyle="1" w:styleId="Pa14">
    <w:name w:val="Pa14"/>
    <w:basedOn w:val="Default"/>
    <w:next w:val="Default"/>
    <w:uiPriority w:val="99"/>
    <w:rsid w:val="00F35544"/>
    <w:pPr>
      <w:spacing w:line="171" w:lineRule="atLeast"/>
    </w:pPr>
    <w:rPr>
      <w:rFonts w:cs="Times New Roman"/>
      <w:color w:val="auto"/>
    </w:rPr>
  </w:style>
  <w:style w:type="paragraph" w:customStyle="1" w:styleId="Pa16">
    <w:name w:val="Pa16"/>
    <w:basedOn w:val="Default"/>
    <w:next w:val="Default"/>
    <w:uiPriority w:val="99"/>
    <w:rsid w:val="00F35544"/>
    <w:pPr>
      <w:spacing w:line="171" w:lineRule="atLeast"/>
    </w:pPr>
    <w:rPr>
      <w:rFonts w:ascii="Open Sans Light" w:hAnsi="Open Sans Light" w:cs="Times New Roman"/>
      <w:color w:val="auto"/>
    </w:rPr>
  </w:style>
  <w:style w:type="character" w:styleId="CommentReference">
    <w:name w:val="annotation reference"/>
    <w:rsid w:val="00B965CB"/>
    <w:rPr>
      <w:sz w:val="16"/>
      <w:szCs w:val="16"/>
    </w:rPr>
  </w:style>
  <w:style w:type="paragraph" w:styleId="CommentText">
    <w:name w:val="annotation text"/>
    <w:basedOn w:val="Normal"/>
    <w:link w:val="CommentTextChar"/>
    <w:rsid w:val="00B965CB"/>
    <w:rPr>
      <w:szCs w:val="20"/>
    </w:rPr>
  </w:style>
  <w:style w:type="character" w:customStyle="1" w:styleId="CommentTextChar">
    <w:name w:val="Comment Text Char"/>
    <w:link w:val="CommentText"/>
    <w:rsid w:val="00B965CB"/>
    <w:rPr>
      <w:rFonts w:ascii="Calibri" w:hAnsi="Calibri"/>
      <w:lang w:val="en-US" w:eastAsia="en-US"/>
    </w:rPr>
  </w:style>
  <w:style w:type="paragraph" w:styleId="CommentSubject">
    <w:name w:val="annotation subject"/>
    <w:basedOn w:val="CommentText"/>
    <w:next w:val="CommentText"/>
    <w:link w:val="CommentSubjectChar"/>
    <w:rsid w:val="00B965CB"/>
    <w:rPr>
      <w:b/>
      <w:bCs/>
    </w:rPr>
  </w:style>
  <w:style w:type="character" w:customStyle="1" w:styleId="CommentSubjectChar">
    <w:name w:val="Comment Subject Char"/>
    <w:link w:val="CommentSubject"/>
    <w:rsid w:val="00B965CB"/>
    <w:rPr>
      <w:rFonts w:ascii="Calibri" w:hAnsi="Calibri"/>
      <w:b/>
      <w:bCs/>
      <w:lang w:val="en-US" w:eastAsia="en-US"/>
    </w:rPr>
  </w:style>
  <w:style w:type="paragraph" w:styleId="EndnoteText">
    <w:name w:val="endnote text"/>
    <w:basedOn w:val="Normal"/>
    <w:link w:val="EndnoteTextChar"/>
    <w:rsid w:val="002D2CB5"/>
    <w:rPr>
      <w:szCs w:val="20"/>
    </w:rPr>
  </w:style>
  <w:style w:type="character" w:customStyle="1" w:styleId="EndnoteTextChar">
    <w:name w:val="Endnote Text Char"/>
    <w:link w:val="EndnoteText"/>
    <w:rsid w:val="002D2CB5"/>
    <w:rPr>
      <w:rFonts w:ascii="Calibri" w:hAnsi="Calibri"/>
      <w:lang w:val="en-US" w:eastAsia="en-US"/>
    </w:rPr>
  </w:style>
  <w:style w:type="character" w:styleId="EndnoteReference">
    <w:name w:val="endnote reference"/>
    <w:rsid w:val="002D2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bsidiary xmlns="59ee7e58-6d84-4128-8c4e-a33640f2aae3" xsi:nil="true"/>
    <lcf76f155ced4ddcb4097134ff3c332f xmlns="e1f69e80-fefa-4ad1-9a16-f85c648d7492">
      <Terms xmlns="http://schemas.microsoft.com/office/infopath/2007/PartnerControls"/>
    </lcf76f155ced4ddcb4097134ff3c332f>
    <PCG_x0020_Summary xmlns="59ee7e58-6d84-4128-8c4e-a33640f2aae3" xsi:nil="true"/>
    <_ip_UnifiedCompliancePolicyProperties xmlns="http://schemas.microsoft.com/sharepoint/v3" xsi:nil="true"/>
    <TaxCatchAll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6B21-4A02-40B8-A50F-2BEA6280100A}">
  <ds:schemaRefs>
    <ds:schemaRef ds:uri="http://schemas.microsoft.com/sharepoint/v3/contenttype/forms"/>
  </ds:schemaRefs>
</ds:datastoreItem>
</file>

<file path=customXml/itemProps2.xml><?xml version="1.0" encoding="utf-8"?>
<ds:datastoreItem xmlns:ds="http://schemas.openxmlformats.org/officeDocument/2006/customXml" ds:itemID="{5B48C708-DD92-4683-8023-0F9153391507}">
  <ds:schemaRefs>
    <ds:schemaRef ds:uri="http://schemas.microsoft.com/office/2006/metadata/longProperties"/>
  </ds:schemaRefs>
</ds:datastoreItem>
</file>

<file path=customXml/itemProps3.xml><?xml version="1.0" encoding="utf-8"?>
<ds:datastoreItem xmlns:ds="http://schemas.openxmlformats.org/officeDocument/2006/customXml" ds:itemID="{5DE5E217-34A9-4630-9A97-34ED1CF0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1B23D-1E81-4AB9-93CD-22B12B516DBA}">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customXml/itemProps5.xml><?xml version="1.0" encoding="utf-8"?>
<ds:datastoreItem xmlns:ds="http://schemas.openxmlformats.org/officeDocument/2006/customXml" ds:itemID="{005D1E30-1361-4C29-A946-19B8DC63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Approved by: Director / Managers name here</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OConnor, Barney</dc:creator>
  <cp:lastModifiedBy>Fay, Jordan L</cp:lastModifiedBy>
  <cp:revision>2</cp:revision>
  <cp:lastPrinted>2022-06-08T13:08:00Z</cp:lastPrinted>
  <dcterms:created xsi:type="dcterms:W3CDTF">2026-01-07T10:17:00Z</dcterms:created>
  <dcterms:modified xsi:type="dcterms:W3CDTF">2026-01-07T10:17:00Z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0x01010001A3D6485460E048ADC8A2B8E7173193</vt:lpwstr>
  </property>
  <property fmtid="{D5CDD505-2E9C-101B-9397-08002B2CF9AE}" pid="3" name="ClassificationWatermarkShapeIds">
    <vt:lpwstr>45502cc2,36de087b,7cdc077d</vt:lpwstr>
  </property>
  <property fmtid="{D5CDD505-2E9C-101B-9397-08002B2CF9AE}" pid="4" name="ClassificationWatermarkFontProps">
    <vt:lpwstr>#dcdcdc,1,Calibri</vt:lpwstr>
  </property>
  <property fmtid="{D5CDD505-2E9C-101B-9397-08002B2CF9AE}" pid="5" name="ClassificationWatermarkText">
    <vt:lpwstr>Confidential</vt:lpwstr>
  </property>
  <property fmtid="{D5CDD505-2E9C-101B-9397-08002B2CF9AE}" pid="6" name="MSIP_Label_9a1593e3-eb40-4b63-9198-a6ec3e998e52_Enabled">
    <vt:lpwstr>true</vt:lpwstr>
  </property>
  <property fmtid="{D5CDD505-2E9C-101B-9397-08002B2CF9AE}" pid="7" name="MSIP_Label_9a1593e3-eb40-4b63-9198-a6ec3e998e52_SetDate">
    <vt:lpwstr>2025-10-31T13:05:41Z</vt:lpwstr>
  </property>
  <property fmtid="{D5CDD505-2E9C-101B-9397-08002B2CF9AE}" pid="8" name="MSIP_Label_9a1593e3-eb40-4b63-9198-a6ec3e998e52_Method">
    <vt:lpwstr>Privileged</vt:lpwstr>
  </property>
  <property fmtid="{D5CDD505-2E9C-101B-9397-08002B2CF9AE}" pid="9" name="MSIP_Label_9a1593e3-eb40-4b63-9198-a6ec3e998e52_Name">
    <vt:lpwstr>9a1593e3-eb40-4b63-9198-a6ec3e998e52</vt:lpwstr>
  </property>
  <property fmtid="{D5CDD505-2E9C-101B-9397-08002B2CF9AE}" pid="10" name="MSIP_Label_9a1593e3-eb40-4b63-9198-a6ec3e998e52_SiteId">
    <vt:lpwstr>953b0f83-1ce6-45c3-82c9-1d847e372339</vt:lpwstr>
  </property>
  <property fmtid="{D5CDD505-2E9C-101B-9397-08002B2CF9AE}" pid="11" name="MSIP_Label_9a1593e3-eb40-4b63-9198-a6ec3e998e52_ActionId">
    <vt:lpwstr>85b9c016-9b12-4c80-99b1-ae1943845d6c</vt:lpwstr>
  </property>
  <property fmtid="{D5CDD505-2E9C-101B-9397-08002B2CF9AE}" pid="12" name="MSIP_Label_9a1593e3-eb40-4b63-9198-a6ec3e998e52_ContentBits">
    <vt:lpwstr>4</vt:lpwstr>
  </property>
  <property fmtid="{D5CDD505-2E9C-101B-9397-08002B2CF9AE}" pid="13" name="MSIP_Label_9a1593e3-eb40-4b63-9198-a6ec3e998e52_Tag">
    <vt:lpwstr>10, 0, 1, 1</vt:lpwstr>
  </property>
  <property fmtid="{D5CDD505-2E9C-101B-9397-08002B2CF9AE}" pid="14" name="MediaServiceImageTags">
    <vt:lpwstr/>
  </property>
</Properties>
</file>