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97BC329" w14:textId="77777777" w:rsidR="00580793" w:rsidRPr="00C64B7F" w:rsidRDefault="00FE3EFA">
      <w:pPr>
        <w:rPr>
          <w:sz w:val="22"/>
          <w:szCs w:val="22"/>
        </w:rPr>
      </w:pPr>
      <w:r w:rsidRPr="00C64B7F">
        <w:rPr>
          <w:rFonts w:ascii="Calibri" w:eastAsia="Calibri" w:hAnsi="Calibri" w:cs="Calibri"/>
          <w:b/>
          <w:bCs/>
          <w:color w:val="000000"/>
          <w:sz w:val="22"/>
          <w:szCs w:val="22"/>
          <w:lang w:val="en-US"/>
        </w:rPr>
        <w:t xml:space="preserve">Government Cyber Resilience Pledge </w:t>
      </w:r>
    </w:p>
    <w:p w14:paraId="597BC32A" w14:textId="77777777" w:rsidR="00580793" w:rsidRPr="00C64B7F" w:rsidRDefault="00FE3EFA">
      <w:pPr>
        <w:rPr>
          <w:sz w:val="22"/>
          <w:szCs w:val="22"/>
        </w:rPr>
      </w:pPr>
      <w:r w:rsidRPr="00C64B7F">
        <w:rPr>
          <w:rFonts w:ascii="Calibri" w:eastAsia="Calibri" w:hAnsi="Calibri" w:cs="Calibri"/>
          <w:color w:val="000000"/>
          <w:sz w:val="22"/>
          <w:szCs w:val="22"/>
          <w:lang w:val="en-US"/>
        </w:rPr>
        <w:t xml:space="preserve">Following the government’s ministerial letter of 13 October 2025, SSE plc hereby </w:t>
      </w:r>
      <w:proofErr w:type="gramStart"/>
      <w:r w:rsidRPr="00C64B7F">
        <w:rPr>
          <w:rFonts w:ascii="Calibri" w:eastAsia="Calibri" w:hAnsi="Calibri" w:cs="Calibri"/>
          <w:color w:val="000000"/>
          <w:sz w:val="22"/>
          <w:szCs w:val="22"/>
          <w:lang w:val="en-US"/>
        </w:rPr>
        <w:t>pledge</w:t>
      </w:r>
      <w:proofErr w:type="gramEnd"/>
      <w:r w:rsidRPr="00C64B7F">
        <w:rPr>
          <w:rFonts w:ascii="Calibri" w:eastAsia="Calibri" w:hAnsi="Calibri" w:cs="Calibri"/>
          <w:color w:val="000000"/>
          <w:sz w:val="22"/>
          <w:szCs w:val="22"/>
          <w:lang w:val="en-US"/>
        </w:rPr>
        <w:t xml:space="preserve"> to undertake the following actions, as outlined in the letter:</w:t>
      </w:r>
    </w:p>
    <w:p w14:paraId="597BC32B" w14:textId="77777777" w:rsidR="00580793" w:rsidRPr="00C64B7F" w:rsidRDefault="00FE3EFA">
      <w:pPr>
        <w:pStyle w:val="ListParagraph"/>
        <w:numPr>
          <w:ilvl w:val="0"/>
          <w:numId w:val="2"/>
        </w:numPr>
        <w:spacing w:after="0"/>
        <w:contextualSpacing w:val="0"/>
        <w:rPr>
          <w:sz w:val="22"/>
          <w:szCs w:val="22"/>
        </w:rPr>
      </w:pPr>
      <w:r w:rsidRPr="00C64B7F">
        <w:rPr>
          <w:rFonts w:ascii="Calibri" w:eastAsia="Calibri" w:hAnsi="Calibri" w:cs="Calibri"/>
          <w:b/>
          <w:bCs/>
          <w:color w:val="000000"/>
          <w:sz w:val="22"/>
          <w:szCs w:val="22"/>
        </w:rPr>
        <w:t>Make cyber a Board responsibility:</w:t>
      </w:r>
    </w:p>
    <w:p w14:paraId="597BC32C" w14:textId="113A252B" w:rsidR="00580793" w:rsidRPr="00C64B7F" w:rsidRDefault="00FE3EFA" w:rsidP="00526FB3">
      <w:pPr>
        <w:pStyle w:val="ListParagraph"/>
        <w:numPr>
          <w:ilvl w:val="1"/>
          <w:numId w:val="2"/>
        </w:numPr>
        <w:rPr>
          <w:sz w:val="22"/>
          <w:szCs w:val="22"/>
        </w:rPr>
      </w:pPr>
      <w:r w:rsidRPr="00C64B7F">
        <w:rPr>
          <w:rFonts w:ascii="Calibri" w:eastAsia="Calibri" w:hAnsi="Calibri" w:cs="Calibri"/>
          <w:color w:val="000000"/>
          <w:sz w:val="22"/>
          <w:szCs w:val="22"/>
        </w:rPr>
        <w:t xml:space="preserve">Implement all actions within the </w:t>
      </w:r>
      <w:hyperlink r:id="rId7" w:history="1">
        <w:r w:rsidRPr="00C64B7F">
          <w:rPr>
            <w:rStyle w:val="Hyperlink"/>
            <w:rFonts w:ascii="Calibri" w:eastAsia="Calibri" w:hAnsi="Calibri" w:cs="Calibri"/>
            <w:sz w:val="22"/>
            <w:szCs w:val="22"/>
          </w:rPr>
          <w:t>Cyber Governance Code of Practice.</w:t>
        </w:r>
      </w:hyperlink>
    </w:p>
    <w:p w14:paraId="597BC32D" w14:textId="77777777" w:rsidR="00580793" w:rsidRPr="00C64B7F" w:rsidRDefault="00FE3EFA">
      <w:pPr>
        <w:pStyle w:val="ListParagraph"/>
        <w:numPr>
          <w:ilvl w:val="1"/>
          <w:numId w:val="2"/>
        </w:numPr>
        <w:rPr>
          <w:sz w:val="22"/>
          <w:szCs w:val="22"/>
        </w:rPr>
      </w:pPr>
      <w:r w:rsidRPr="00C64B7F">
        <w:rPr>
          <w:rFonts w:ascii="Calibri" w:eastAsia="Calibri" w:hAnsi="Calibri" w:cs="Calibri"/>
          <w:color w:val="000000"/>
          <w:sz w:val="22"/>
          <w:szCs w:val="22"/>
        </w:rPr>
        <w:t xml:space="preserve">Ensure all board members undertake the </w:t>
      </w:r>
      <w:hyperlink r:id="rId8" w:history="1">
        <w:r w:rsidRPr="00C64B7F">
          <w:rPr>
            <w:rStyle w:val="Hyperlink"/>
            <w:rFonts w:ascii="Calibri" w:eastAsia="Calibri" w:hAnsi="Calibri" w:cs="Calibri"/>
            <w:sz w:val="22"/>
            <w:szCs w:val="22"/>
          </w:rPr>
          <w:t>NCSC’s Cyber Governance Training</w:t>
        </w:r>
      </w:hyperlink>
      <w:r w:rsidRPr="00C64B7F">
        <w:rPr>
          <w:rFonts w:ascii="Calibri" w:eastAsia="Calibri" w:hAnsi="Calibri" w:cs="Calibri"/>
          <w:color w:val="000000"/>
          <w:sz w:val="22"/>
          <w:szCs w:val="22"/>
        </w:rPr>
        <w:t xml:space="preserve"> within three months and then on an annual basis. </w:t>
      </w:r>
    </w:p>
    <w:p w14:paraId="597BC32E" w14:textId="77777777" w:rsidR="00580793" w:rsidRPr="00C64B7F" w:rsidRDefault="00FE3EFA">
      <w:pPr>
        <w:pStyle w:val="ListParagraph"/>
        <w:numPr>
          <w:ilvl w:val="0"/>
          <w:numId w:val="2"/>
        </w:numPr>
        <w:rPr>
          <w:sz w:val="22"/>
          <w:szCs w:val="22"/>
        </w:rPr>
      </w:pPr>
      <w:r w:rsidRPr="00C64B7F">
        <w:rPr>
          <w:rFonts w:ascii="Calibri" w:eastAsia="Calibri" w:hAnsi="Calibri" w:cs="Calibri"/>
          <w:b/>
          <w:bCs/>
          <w:color w:val="000000"/>
          <w:sz w:val="22"/>
          <w:szCs w:val="22"/>
        </w:rPr>
        <w:t>Sign up to Early Warning:</w:t>
      </w:r>
    </w:p>
    <w:p w14:paraId="597BC32F" w14:textId="77777777" w:rsidR="00580793" w:rsidRPr="00C64B7F" w:rsidRDefault="00FE3EFA">
      <w:pPr>
        <w:pStyle w:val="ListParagraph"/>
        <w:numPr>
          <w:ilvl w:val="1"/>
          <w:numId w:val="2"/>
        </w:numPr>
        <w:rPr>
          <w:sz w:val="22"/>
          <w:szCs w:val="22"/>
        </w:rPr>
      </w:pPr>
      <w:r w:rsidRPr="00C64B7F">
        <w:rPr>
          <w:rFonts w:ascii="Calibri" w:eastAsia="Calibri" w:hAnsi="Calibri" w:cs="Calibri"/>
          <w:color w:val="000000"/>
          <w:sz w:val="22"/>
          <w:szCs w:val="22"/>
        </w:rPr>
        <w:t xml:space="preserve">Register for the </w:t>
      </w:r>
      <w:hyperlink r:id="rId9" w:history="1">
        <w:r w:rsidRPr="00C64B7F">
          <w:rPr>
            <w:rStyle w:val="Hyperlink"/>
            <w:rFonts w:ascii="Calibri" w:eastAsia="Calibri" w:hAnsi="Calibri" w:cs="Calibri"/>
            <w:sz w:val="22"/>
            <w:szCs w:val="22"/>
          </w:rPr>
          <w:t>Early Warning service</w:t>
        </w:r>
      </w:hyperlink>
      <w:r w:rsidRPr="00C64B7F">
        <w:rPr>
          <w:rFonts w:ascii="Calibri" w:eastAsia="Calibri" w:hAnsi="Calibri" w:cs="Calibri"/>
          <w:color w:val="000000"/>
          <w:sz w:val="22"/>
          <w:szCs w:val="22"/>
        </w:rPr>
        <w:t xml:space="preserve"> within one month of signing the pledge</w:t>
      </w:r>
    </w:p>
    <w:p w14:paraId="597BC330" w14:textId="5F5A6358" w:rsidR="00580793" w:rsidRPr="00C64B7F" w:rsidRDefault="00FE3EFA">
      <w:pPr>
        <w:pStyle w:val="ListParagraph"/>
        <w:numPr>
          <w:ilvl w:val="0"/>
          <w:numId w:val="2"/>
        </w:numPr>
        <w:rPr>
          <w:sz w:val="22"/>
          <w:szCs w:val="22"/>
        </w:rPr>
      </w:pPr>
      <w:r w:rsidRPr="00C64B7F">
        <w:rPr>
          <w:rFonts w:ascii="Calibri" w:eastAsia="Calibri" w:hAnsi="Calibri" w:cs="Calibri"/>
          <w:b/>
          <w:bCs/>
          <w:color w:val="000000"/>
          <w:sz w:val="22"/>
          <w:szCs w:val="22"/>
        </w:rPr>
        <w:t xml:space="preserve">Require Cyber Essentials across supply </w:t>
      </w:r>
      <w:r w:rsidR="00C64B7F">
        <w:rPr>
          <w:rFonts w:ascii="Calibri" w:eastAsia="Calibri" w:hAnsi="Calibri" w:cs="Calibri"/>
          <w:b/>
          <w:bCs/>
          <w:color w:val="000000"/>
          <w:sz w:val="22"/>
          <w:szCs w:val="22"/>
        </w:rPr>
        <w:t>`z</w:t>
      </w:r>
      <w:r w:rsidRPr="00C64B7F">
        <w:rPr>
          <w:rFonts w:ascii="Calibri" w:eastAsia="Calibri" w:hAnsi="Calibri" w:cs="Calibri"/>
          <w:b/>
          <w:bCs/>
          <w:color w:val="000000"/>
          <w:sz w:val="22"/>
          <w:szCs w:val="22"/>
        </w:rPr>
        <w:t>chains:</w:t>
      </w:r>
    </w:p>
    <w:p w14:paraId="597BC331" w14:textId="77777777" w:rsidR="00580793" w:rsidRPr="00C64B7F" w:rsidRDefault="00FE3EFA">
      <w:pPr>
        <w:pStyle w:val="ListParagraph"/>
        <w:numPr>
          <w:ilvl w:val="1"/>
          <w:numId w:val="2"/>
        </w:numPr>
        <w:rPr>
          <w:sz w:val="22"/>
          <w:szCs w:val="22"/>
        </w:rPr>
      </w:pPr>
      <w:r w:rsidRPr="00C64B7F">
        <w:rPr>
          <w:rFonts w:ascii="Calibri" w:eastAsia="Calibri" w:hAnsi="Calibri" w:cs="Calibri"/>
          <w:color w:val="000000"/>
          <w:sz w:val="22"/>
          <w:szCs w:val="22"/>
        </w:rPr>
        <w:t xml:space="preserve">Register to the </w:t>
      </w:r>
      <w:hyperlink r:id="rId10" w:history="1">
        <w:r w:rsidRPr="00C64B7F">
          <w:rPr>
            <w:rStyle w:val="Hyperlink"/>
            <w:rFonts w:ascii="Calibri" w:eastAsia="Calibri" w:hAnsi="Calibri" w:cs="Calibri"/>
            <w:sz w:val="22"/>
            <w:szCs w:val="22"/>
          </w:rPr>
          <w:t>Cyber Essentials Supplier Check Tool</w:t>
        </w:r>
      </w:hyperlink>
      <w:r w:rsidRPr="00C64B7F">
        <w:rPr>
          <w:rFonts w:ascii="Calibri" w:eastAsia="Calibri" w:hAnsi="Calibri" w:cs="Calibri"/>
          <w:color w:val="000000"/>
          <w:sz w:val="22"/>
          <w:szCs w:val="22"/>
        </w:rPr>
        <w:t xml:space="preserve"> within two months of signing the pledge.</w:t>
      </w:r>
    </w:p>
    <w:p w14:paraId="597BC332" w14:textId="77777777" w:rsidR="00580793" w:rsidRPr="00C64B7F" w:rsidRDefault="00FE3EFA">
      <w:pPr>
        <w:pStyle w:val="ListParagraph"/>
        <w:numPr>
          <w:ilvl w:val="1"/>
          <w:numId w:val="2"/>
        </w:numPr>
        <w:rPr>
          <w:rFonts w:ascii="Calibri" w:eastAsia="Calibri" w:hAnsi="Calibri" w:cs="Calibri"/>
          <w:color w:val="000000"/>
          <w:sz w:val="22"/>
          <w:szCs w:val="22"/>
        </w:rPr>
      </w:pPr>
      <w:r w:rsidRPr="00C64B7F">
        <w:rPr>
          <w:rFonts w:ascii="Calibri" w:eastAsia="Calibri" w:hAnsi="Calibri" w:cs="Calibri"/>
          <w:color w:val="000000"/>
          <w:sz w:val="22"/>
          <w:szCs w:val="22"/>
        </w:rPr>
        <w:t>Ensure that a comprehensive audit of Cyber Essentials coverage has been conducted across our entire supply chain and that it is presented to and discussed by the Board.</w:t>
      </w:r>
    </w:p>
    <w:p w14:paraId="597BC333" w14:textId="77777777" w:rsidR="00580793" w:rsidRPr="00C64B7F" w:rsidRDefault="00FE3EFA">
      <w:pPr>
        <w:pStyle w:val="ListParagraph"/>
        <w:numPr>
          <w:ilvl w:val="1"/>
          <w:numId w:val="2"/>
        </w:numPr>
        <w:contextualSpacing w:val="0"/>
        <w:rPr>
          <w:rFonts w:ascii="Calibri" w:eastAsia="Calibri" w:hAnsi="Calibri" w:cs="Calibri"/>
          <w:color w:val="000000"/>
          <w:sz w:val="22"/>
          <w:szCs w:val="22"/>
        </w:rPr>
      </w:pPr>
      <w:r w:rsidRPr="00C64B7F">
        <w:rPr>
          <w:rFonts w:ascii="Calibri" w:eastAsia="Calibri" w:hAnsi="Calibri" w:cs="Calibri"/>
          <w:color w:val="000000"/>
          <w:sz w:val="22"/>
          <w:szCs w:val="22"/>
        </w:rPr>
        <w:t xml:space="preserve">Take a risk-based approach to requiring Cyber Essentials across our supply chain (which may include requiring it from all suppliers). If Cyber Essentials is not required for certain suppliers, the board will ensure that this decision aligns with our organisations risk appetite and strategy and that adequate assurance is obtained through other means.   </w:t>
      </w:r>
    </w:p>
    <w:p w14:paraId="597BC334" w14:textId="77777777" w:rsidR="00580793" w:rsidRPr="00C64B7F" w:rsidRDefault="00FE3EFA">
      <w:pPr>
        <w:rPr>
          <w:rFonts w:ascii="Calibri" w:eastAsia="Calibri" w:hAnsi="Calibri" w:cs="Calibri"/>
          <w:color w:val="000000"/>
          <w:sz w:val="22"/>
          <w:szCs w:val="22"/>
        </w:rPr>
      </w:pPr>
      <w:r w:rsidRPr="00C64B7F">
        <w:rPr>
          <w:rFonts w:ascii="Calibri" w:eastAsia="Calibri" w:hAnsi="Calibri" w:cs="Calibri"/>
          <w:color w:val="000000"/>
          <w:sz w:val="22"/>
          <w:szCs w:val="22"/>
        </w:rPr>
        <w:t xml:space="preserve">In addition to the above three actions, we commit to take the following steps: </w:t>
      </w:r>
    </w:p>
    <w:p w14:paraId="597BC335" w14:textId="77777777" w:rsidR="00580793" w:rsidRPr="00C64B7F" w:rsidRDefault="00FE3EFA">
      <w:pPr>
        <w:pStyle w:val="ListParagraph"/>
        <w:numPr>
          <w:ilvl w:val="0"/>
          <w:numId w:val="3"/>
        </w:numPr>
        <w:contextualSpacing w:val="0"/>
        <w:rPr>
          <w:sz w:val="22"/>
          <w:szCs w:val="22"/>
        </w:rPr>
      </w:pPr>
      <w:r w:rsidRPr="00C64B7F">
        <w:rPr>
          <w:rFonts w:ascii="Calibri" w:eastAsia="Calibri" w:hAnsi="Calibri" w:cs="Calibri"/>
          <w:b/>
          <w:bCs/>
          <w:color w:val="000000"/>
          <w:sz w:val="22"/>
          <w:szCs w:val="22"/>
        </w:rPr>
        <w:t>Encourage these actions within our own supply chains</w:t>
      </w:r>
      <w:r w:rsidRPr="00C64B7F">
        <w:rPr>
          <w:rFonts w:ascii="Calibri" w:eastAsia="Calibri" w:hAnsi="Calibri" w:cs="Calibri"/>
          <w:color w:val="000000"/>
          <w:sz w:val="22"/>
          <w:szCs w:val="22"/>
        </w:rPr>
        <w:t xml:space="preserve"> - we will strive to engage with our suppliers to understand and better manage the cyber security risks that they are exposed to through their supply chain and encourage adoption of the above measures.  </w:t>
      </w:r>
    </w:p>
    <w:p w14:paraId="597BC336" w14:textId="77777777" w:rsidR="00580793" w:rsidRPr="00C64B7F" w:rsidRDefault="00FE3EFA">
      <w:pPr>
        <w:pStyle w:val="ListParagraph"/>
        <w:numPr>
          <w:ilvl w:val="0"/>
          <w:numId w:val="3"/>
        </w:numPr>
        <w:contextualSpacing w:val="0"/>
        <w:rPr>
          <w:sz w:val="22"/>
          <w:szCs w:val="22"/>
        </w:rPr>
      </w:pPr>
      <w:r w:rsidRPr="00C64B7F">
        <w:rPr>
          <w:rFonts w:ascii="Calibri" w:eastAsia="Calibri" w:hAnsi="Calibri" w:cs="Calibri"/>
          <w:b/>
          <w:bCs/>
          <w:color w:val="000000"/>
          <w:sz w:val="22"/>
          <w:szCs w:val="22"/>
        </w:rPr>
        <w:t xml:space="preserve">Publish the signed pledge declaration on our website </w:t>
      </w:r>
      <w:r w:rsidRPr="00C64B7F">
        <w:rPr>
          <w:rFonts w:ascii="Calibri" w:eastAsia="Calibri" w:hAnsi="Calibri" w:cs="Calibri"/>
          <w:color w:val="000000"/>
          <w:sz w:val="22"/>
          <w:szCs w:val="22"/>
        </w:rPr>
        <w:t xml:space="preserve">- within 2 months, we will publish the signed pledge declaration on our company website. Additionally, we will publish an annual public update, either in our annual report or on our company website, on the steps taken to deliver against the pledge.   </w:t>
      </w:r>
    </w:p>
    <w:p w14:paraId="597BC339" w14:textId="5638224B" w:rsidR="00580793" w:rsidRPr="00C64B7F" w:rsidRDefault="00FE3EFA">
      <w:pPr>
        <w:rPr>
          <w:sz w:val="22"/>
          <w:szCs w:val="22"/>
        </w:rPr>
      </w:pPr>
      <w:r w:rsidRPr="00C64B7F">
        <w:rPr>
          <w:rFonts w:ascii="Calibri" w:eastAsia="Calibri" w:hAnsi="Calibri" w:cs="Calibri"/>
          <w:color w:val="000000"/>
          <w:sz w:val="22"/>
          <w:szCs w:val="22"/>
        </w:rPr>
        <w:t>While the pledge is voluntary, we commit to take positive and meaningful steps to fully implement the three actions.  If our company has been unable to implement any of the pledge actions, we will promptly provide DSIT with relevant feedback as to why.</w:t>
      </w:r>
    </w:p>
    <w:p w14:paraId="597BC33A" w14:textId="77777777" w:rsidR="00580793" w:rsidRPr="00C64B7F" w:rsidRDefault="00FE3EFA">
      <w:pPr>
        <w:rPr>
          <w:rFonts w:ascii="Calibri" w:eastAsia="Calibri" w:hAnsi="Calibri" w:cs="Calibri"/>
          <w:color w:val="000000"/>
          <w:sz w:val="22"/>
          <w:szCs w:val="22"/>
          <w:lang w:val="en-US"/>
        </w:rPr>
      </w:pPr>
      <w:r w:rsidRPr="00C64B7F">
        <w:rPr>
          <w:rFonts w:ascii="Calibri" w:eastAsia="Calibri" w:hAnsi="Calibri" w:cs="Calibri"/>
          <w:color w:val="000000"/>
          <w:sz w:val="22"/>
          <w:szCs w:val="22"/>
          <w:lang w:val="en-US"/>
        </w:rPr>
        <w:t xml:space="preserve">Signed, </w:t>
      </w:r>
    </w:p>
    <w:p w14:paraId="597BC33B" w14:textId="77777777" w:rsidR="00580793" w:rsidRDefault="00FE3EFA">
      <w:r>
        <w:rPr>
          <w:rFonts w:ascii="Calibri" w:eastAsia="Calibri" w:hAnsi="Calibri" w:cs="Calibri"/>
          <w:noProof/>
          <w:color w:val="000000"/>
          <w:lang w:val="en-US"/>
        </w:rPr>
        <w:drawing>
          <wp:inline distT="0" distB="0" distL="0" distR="0" wp14:anchorId="597BC326" wp14:editId="597BC327">
            <wp:extent cx="892728" cy="410583"/>
            <wp:effectExtent l="0" t="0" r="2622" b="8517"/>
            <wp:docPr id="581073856"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892728" cy="410583"/>
                    </a:xfrm>
                    <a:prstGeom prst="rect">
                      <a:avLst/>
                    </a:prstGeom>
                    <a:noFill/>
                    <a:ln>
                      <a:noFill/>
                      <a:prstDash/>
                    </a:ln>
                  </pic:spPr>
                </pic:pic>
              </a:graphicData>
            </a:graphic>
          </wp:inline>
        </w:drawing>
      </w:r>
    </w:p>
    <w:p w14:paraId="597BC33C" w14:textId="77777777" w:rsidR="00580793" w:rsidRPr="00C64B7F" w:rsidRDefault="00FE3EFA">
      <w:pPr>
        <w:rPr>
          <w:rFonts w:ascii="Calibri" w:eastAsia="Calibri" w:hAnsi="Calibri" w:cs="Calibri"/>
          <w:color w:val="000000"/>
          <w:sz w:val="22"/>
          <w:szCs w:val="22"/>
          <w:lang w:val="en-US"/>
        </w:rPr>
      </w:pPr>
      <w:r w:rsidRPr="00C64B7F">
        <w:rPr>
          <w:rFonts w:ascii="Calibri" w:eastAsia="Calibri" w:hAnsi="Calibri" w:cs="Calibri"/>
          <w:color w:val="000000"/>
          <w:sz w:val="22"/>
          <w:szCs w:val="22"/>
          <w:lang w:val="en-US"/>
        </w:rPr>
        <w:t>Martin Pibworth</w:t>
      </w:r>
    </w:p>
    <w:p w14:paraId="597BC33D" w14:textId="77777777" w:rsidR="00580793" w:rsidRPr="00C64B7F" w:rsidRDefault="00FE3EFA">
      <w:pPr>
        <w:rPr>
          <w:sz w:val="22"/>
          <w:szCs w:val="22"/>
        </w:rPr>
      </w:pPr>
      <w:r w:rsidRPr="00C64B7F">
        <w:rPr>
          <w:rFonts w:ascii="Calibri" w:eastAsia="Calibri" w:hAnsi="Calibri" w:cs="Calibri"/>
          <w:color w:val="000000"/>
          <w:sz w:val="22"/>
          <w:szCs w:val="22"/>
          <w:lang w:val="en-US"/>
        </w:rPr>
        <w:t>Chief Executive</w:t>
      </w:r>
    </w:p>
    <w:sectPr w:rsidR="00580793" w:rsidRPr="00C64B7F">
      <w:headerReference w:type="default" r:id="rId12"/>
      <w:footerReference w:type="default" r:id="rId13"/>
      <w:pgSz w:w="11906" w:h="16838"/>
      <w:pgMar w:top="1350" w:right="1376" w:bottom="1448" w:left="1440" w:header="720" w:footer="720" w:gutter="0"/>
      <w:pgNumType w:start="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A50CFEC" w14:textId="77777777" w:rsidR="008F5E54" w:rsidRDefault="008F5E54">
      <w:pPr>
        <w:spacing w:after="0" w:line="240" w:lineRule="auto"/>
      </w:pPr>
      <w:r>
        <w:separator/>
      </w:r>
    </w:p>
  </w:endnote>
  <w:endnote w:type="continuationSeparator" w:id="0">
    <w:p w14:paraId="4CB67A48" w14:textId="77777777" w:rsidR="008F5E54" w:rsidRDefault="008F5E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97BC332" w14:textId="77777777" w:rsidR="00FE3EFA" w:rsidRDefault="00FE3EFA">
    <w:pPr>
      <w:spacing w:line="288" w:lineRule="auto"/>
    </w:pPr>
    <w:r>
      <w:rPr>
        <w:b/>
        <w:bCs/>
        <w:sz w:val="14"/>
        <w:szCs w:val="14"/>
      </w:rPr>
      <w:t>SSE plc</w:t>
    </w:r>
    <w:r>
      <w:rPr>
        <w:b/>
        <w:bCs/>
        <w:sz w:val="14"/>
        <w:szCs w:val="14"/>
      </w:rPr>
      <w:br/>
    </w:r>
    <w:r>
      <w:rPr>
        <w:sz w:val="14"/>
        <w:szCs w:val="14"/>
      </w:rPr>
      <w:t xml:space="preserve">Registered Office: </w:t>
    </w:r>
    <w:proofErr w:type="spellStart"/>
    <w:r>
      <w:rPr>
        <w:sz w:val="14"/>
        <w:szCs w:val="14"/>
      </w:rPr>
      <w:t>Inveralmond</w:t>
    </w:r>
    <w:proofErr w:type="spellEnd"/>
    <w:r>
      <w:rPr>
        <w:sz w:val="14"/>
        <w:szCs w:val="14"/>
      </w:rPr>
      <w:t xml:space="preserve"> House 200 Dunkeld Road Perth PH1 3AQ Registered in Scotland No. SC117119. </w:t>
    </w:r>
  </w:p>
  <w:p w14:paraId="597BC333" w14:textId="77777777" w:rsidR="00FE3EFA" w:rsidRDefault="00FE3EFA">
    <w:pPr>
      <w:pStyle w:val="Footer"/>
      <w:jc w:val="center"/>
    </w:pPr>
    <w:r>
      <w:rPr>
        <w:b/>
        <w:bCs/>
        <w:color w:val="002D72"/>
        <w:sz w:val="14"/>
        <w:szCs w:val="14"/>
      </w:rPr>
      <w:t>sse.com</w:t>
    </w:r>
  </w:p>
  <w:p w14:paraId="597BC334" w14:textId="77777777" w:rsidR="00FE3EFA" w:rsidRDefault="00FE3E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81445C2" w14:textId="77777777" w:rsidR="008F5E54" w:rsidRDefault="008F5E54">
      <w:pPr>
        <w:spacing w:after="0" w:line="240" w:lineRule="auto"/>
      </w:pPr>
      <w:r>
        <w:rPr>
          <w:color w:val="000000"/>
        </w:rPr>
        <w:separator/>
      </w:r>
    </w:p>
  </w:footnote>
  <w:footnote w:type="continuationSeparator" w:id="0">
    <w:p w14:paraId="6EDD3FA6" w14:textId="77777777" w:rsidR="008F5E54" w:rsidRDefault="008F5E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33C58D" w14:textId="77777777" w:rsidR="00C64B7F" w:rsidRDefault="00C64B7F" w:rsidP="00C64B7F">
    <w:r>
      <w:rPr>
        <w:rFonts w:ascii="Calibri" w:eastAsia="Calibri" w:hAnsi="Calibri" w:cs="Calibri"/>
        <w:color w:val="000000"/>
        <w:lang w:val="en-US"/>
      </w:rPr>
      <w:t>28</w:t>
    </w:r>
    <w:r>
      <w:rPr>
        <w:rFonts w:ascii="Calibri" w:eastAsia="Calibri" w:hAnsi="Calibri" w:cs="Calibri"/>
        <w:color w:val="000000"/>
        <w:vertAlign w:val="superscript"/>
        <w:lang w:val="en-US"/>
      </w:rPr>
      <w:t>th</w:t>
    </w:r>
    <w:r>
      <w:rPr>
        <w:rFonts w:ascii="Calibri" w:eastAsia="Calibri" w:hAnsi="Calibri" w:cs="Calibri"/>
        <w:color w:val="000000"/>
        <w:lang w:val="en-US"/>
      </w:rPr>
      <w:t xml:space="preserve"> May 2026</w:t>
    </w:r>
  </w:p>
  <w:p w14:paraId="597BC330" w14:textId="77777777" w:rsidR="00FE3EFA" w:rsidRDefault="00FE3EFA">
    <w:pPr>
      <w:pStyle w:val="Header"/>
    </w:pPr>
    <w:r>
      <w:rPr>
        <w:noProof/>
      </w:rPr>
      <w:drawing>
        <wp:anchor distT="0" distB="0" distL="114300" distR="114300" simplePos="0" relativeHeight="251659264" behindDoc="0" locked="0" layoutInCell="1" allowOverlap="1" wp14:anchorId="597BC328" wp14:editId="597BC329">
          <wp:simplePos x="0" y="0"/>
          <wp:positionH relativeFrom="column">
            <wp:posOffset>4356101</wp:posOffset>
          </wp:positionH>
          <wp:positionV relativeFrom="paragraph">
            <wp:posOffset>63495</wp:posOffset>
          </wp:positionV>
          <wp:extent cx="1672593" cy="571500"/>
          <wp:effectExtent l="0" t="0" r="0" b="0"/>
          <wp:wrapTight wrapText="bothSides">
            <wp:wrapPolygon edited="0">
              <wp:start x="5658" y="0"/>
              <wp:lineTo x="2706" y="11520"/>
              <wp:lineTo x="2706" y="14400"/>
              <wp:lineTo x="4182" y="20160"/>
              <wp:lineTo x="4920" y="20880"/>
              <wp:lineTo x="6642" y="20880"/>
              <wp:lineTo x="17467" y="16560"/>
              <wp:lineTo x="18943" y="11520"/>
              <wp:lineTo x="17959" y="4320"/>
              <wp:lineTo x="7134" y="0"/>
              <wp:lineTo x="5658" y="0"/>
            </wp:wrapPolygon>
          </wp:wrapTight>
          <wp:docPr id="1363298070"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t="23779" b="22850"/>
                  <a:stretch>
                    <a:fillRect/>
                  </a:stretch>
                </pic:blipFill>
                <pic:spPr>
                  <a:xfrm>
                    <a:off x="0" y="0"/>
                    <a:ext cx="1672593" cy="571500"/>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7374FDE"/>
    <w:multiLevelType w:val="multilevel"/>
    <w:tmpl w:val="9B8CE66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4E224661"/>
    <w:multiLevelType w:val="multilevel"/>
    <w:tmpl w:val="17FECD80"/>
    <w:lvl w:ilvl="0">
      <w:start w:val="1"/>
      <w:numFmt w:val="decimal"/>
      <w:lvlText w:val="%1."/>
      <w:lvlJc w:val="left"/>
      <w:pPr>
        <w:ind w:left="720" w:hanging="360"/>
      </w:pPr>
    </w:lvl>
    <w:lvl w:ilvl="1">
      <w:start w:val="1"/>
      <w:numFmt w:val="lowerLetter"/>
      <w:lvlText w:val="%2."/>
      <w:lvlJc w:val="left"/>
      <w:pPr>
        <w:ind w:left="1440" w:hanging="360"/>
      </w:pPr>
      <w:rPr>
        <w:rFonts w:ascii="Calibri" w:eastAsia="Calibri" w:hAnsi="Calibri" w:cs="Calibri"/>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15:restartNumberingAfterBreak="0">
    <w:nsid w:val="7BF95301"/>
    <w:multiLevelType w:val="multilevel"/>
    <w:tmpl w:val="4D30868A"/>
    <w:styleLink w:val="LFO3"/>
    <w:lvl w:ilvl="0">
      <w:numFmt w:val="bullet"/>
      <w:pStyle w:val="Bullet1"/>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num w:numId="1" w16cid:durableId="1622149244">
    <w:abstractNumId w:val="2"/>
  </w:num>
  <w:num w:numId="2" w16cid:durableId="163978924">
    <w:abstractNumId w:val="1"/>
  </w:num>
  <w:num w:numId="3" w16cid:durableId="2621834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0793"/>
    <w:rsid w:val="004970C0"/>
    <w:rsid w:val="00526FB3"/>
    <w:rsid w:val="00580793"/>
    <w:rsid w:val="008F5E54"/>
    <w:rsid w:val="00AD7C9C"/>
    <w:rsid w:val="00C64B7F"/>
    <w:rsid w:val="00FE3E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BC326"/>
  <w15:docId w15:val="{269C89A5-1180-4DD9-B209-E90AD638E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ptos" w:eastAsia="Aptos" w:hAnsi="Aptos" w:cs="Times New Roman"/>
        <w:kern w:val="3"/>
        <w:sz w:val="24"/>
        <w:szCs w:val="24"/>
        <w:lang w:val="en-GB" w:eastAsia="en-US"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eastAsia="Times New Roman"/>
      <w:kern w:val="0"/>
      <w:lang w:eastAsia="ja-JP"/>
    </w:rPr>
  </w:style>
  <w:style w:type="paragraph" w:styleId="Heading1">
    <w:name w:val="heading 1"/>
    <w:basedOn w:val="Normal"/>
    <w:next w:val="Normal"/>
    <w:uiPriority w:val="9"/>
    <w:qFormat/>
    <w:pPr>
      <w:keepNext/>
      <w:keepLines/>
      <w:spacing w:before="360" w:after="80"/>
      <w:outlineLvl w:val="0"/>
    </w:pPr>
    <w:rPr>
      <w:rFonts w:ascii="Aptos Display" w:hAnsi="Aptos Di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Aptos Display" w:hAnsi="Aptos Di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paragraph" w:styleId="Heading7">
    <w:name w:val="heading 7"/>
    <w:basedOn w:val="Normal"/>
    <w:next w:val="Normal"/>
    <w:pPr>
      <w:keepNext/>
      <w:keepLines/>
      <w:spacing w:before="40" w:after="0"/>
      <w:outlineLvl w:val="6"/>
    </w:pPr>
    <w:rPr>
      <w:color w:val="595959"/>
    </w:rPr>
  </w:style>
  <w:style w:type="paragraph" w:styleId="Heading8">
    <w:name w:val="heading 8"/>
    <w:basedOn w:val="Normal"/>
    <w:next w:val="Normal"/>
    <w:pPr>
      <w:keepNext/>
      <w:keepLines/>
      <w:spacing w:after="0"/>
      <w:outlineLvl w:val="7"/>
    </w:pPr>
    <w:rPr>
      <w:i/>
      <w:iCs/>
      <w:color w:val="272727"/>
    </w:rPr>
  </w:style>
  <w:style w:type="paragraph" w:styleId="Heading9">
    <w:name w:val="heading 9"/>
    <w:basedOn w:val="Normal"/>
    <w:next w:val="Normal"/>
    <w:pPr>
      <w:keepNext/>
      <w:keepLines/>
      <w:spacing w:after="0"/>
      <w:outlineLvl w:val="8"/>
    </w:pPr>
    <w:rPr>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Times New Roman" w:hAnsi="Aptos Display" w:cs="Times New Roman"/>
      <w:color w:val="0F4761"/>
      <w:sz w:val="40"/>
      <w:szCs w:val="40"/>
    </w:rPr>
  </w:style>
  <w:style w:type="character" w:customStyle="1" w:styleId="Heading2Char">
    <w:name w:val="Heading 2 Char"/>
    <w:basedOn w:val="DefaultParagraphFont"/>
    <w:rPr>
      <w:rFonts w:ascii="Aptos Display" w:eastAsia="Times New Roman" w:hAnsi="Aptos Display" w:cs="Times New Roman"/>
      <w:color w:val="0F4761"/>
      <w:sz w:val="32"/>
      <w:szCs w:val="32"/>
    </w:rPr>
  </w:style>
  <w:style w:type="character" w:customStyle="1" w:styleId="Heading3Char">
    <w:name w:val="Heading 3 Char"/>
    <w:basedOn w:val="DefaultParagraphFont"/>
    <w:rPr>
      <w:rFonts w:eastAsia="Times New Roman" w:cs="Times New Roman"/>
      <w:color w:val="0F4761"/>
      <w:sz w:val="28"/>
      <w:szCs w:val="28"/>
    </w:rPr>
  </w:style>
  <w:style w:type="character" w:customStyle="1" w:styleId="Heading4Char">
    <w:name w:val="Heading 4 Char"/>
    <w:basedOn w:val="DefaultParagraphFont"/>
    <w:rPr>
      <w:rFonts w:eastAsia="Times New Roman" w:cs="Times New Roman"/>
      <w:i/>
      <w:iCs/>
      <w:color w:val="0F4761"/>
    </w:rPr>
  </w:style>
  <w:style w:type="character" w:customStyle="1" w:styleId="Heading5Char">
    <w:name w:val="Heading 5 Char"/>
    <w:basedOn w:val="DefaultParagraphFont"/>
    <w:rPr>
      <w:rFonts w:eastAsia="Times New Roman" w:cs="Times New Roman"/>
      <w:color w:val="0F4761"/>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uiPriority w:val="10"/>
    <w:qFormat/>
    <w:pPr>
      <w:spacing w:after="80" w:line="240" w:lineRule="auto"/>
      <w:contextualSpacing/>
    </w:pPr>
    <w:rPr>
      <w:rFonts w:ascii="Aptos Display" w:hAnsi="Aptos Display"/>
      <w:spacing w:val="-10"/>
      <w:kern w:val="3"/>
      <w:sz w:val="56"/>
      <w:szCs w:val="56"/>
    </w:rPr>
  </w:style>
  <w:style w:type="character" w:customStyle="1" w:styleId="TitleChar">
    <w:name w:val="Title Char"/>
    <w:basedOn w:val="DefaultParagraphFont"/>
    <w:rPr>
      <w:rFonts w:ascii="Aptos Display" w:eastAsia="Times New Roman" w:hAnsi="Aptos Display" w:cs="Times New Roman"/>
      <w:spacing w:val="-10"/>
      <w:kern w:val="3"/>
      <w:sz w:val="56"/>
      <w:szCs w:val="56"/>
    </w:rPr>
  </w:style>
  <w:style w:type="paragraph" w:styleId="Subtitle">
    <w:name w:val="Subtitle"/>
    <w:basedOn w:val="Normal"/>
    <w:next w:val="Normal"/>
    <w:uiPriority w:val="11"/>
    <w:qFormat/>
    <w:rPr>
      <w:color w:val="595959"/>
      <w:spacing w:val="15"/>
      <w:sz w:val="28"/>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contextualSpacing/>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rFonts w:eastAsia="Times New Roman"/>
      <w:kern w:val="0"/>
      <w:lang w:eastAsia="ja-JP"/>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rFonts w:eastAsia="Times New Roman"/>
      <w:kern w:val="0"/>
      <w:lang w:eastAsia="ja-JP"/>
    </w:rPr>
  </w:style>
  <w:style w:type="character" w:styleId="Hyperlink">
    <w:name w:val="Hyperlink"/>
    <w:basedOn w:val="DefaultParagraphFont"/>
    <w:rPr>
      <w:color w:val="467886"/>
      <w:u w:val="single"/>
    </w:rPr>
  </w:style>
  <w:style w:type="paragraph" w:customStyle="1" w:styleId="Bullet1">
    <w:name w:val="Bullet 1"/>
    <w:basedOn w:val="ListParagraph"/>
    <w:pPr>
      <w:numPr>
        <w:numId w:val="1"/>
      </w:numPr>
      <w:suppressAutoHyphens w:val="0"/>
      <w:spacing w:after="0" w:line="260" w:lineRule="exact"/>
    </w:pPr>
    <w:rPr>
      <w:rFonts w:eastAsia="Aptos"/>
      <w:color w:val="000000"/>
      <w:sz w:val="20"/>
      <w:szCs w:val="22"/>
      <w:lang w:eastAsia="en-US"/>
    </w:rPr>
  </w:style>
  <w:style w:type="numbering" w:customStyle="1" w:styleId="LFO3">
    <w:name w:val="LFO3"/>
    <w:basedOn w:val="NoList"/>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ncsc.gov.uk/cyber-governance-for-boards/training"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gov.uk/government/publications/cyber-governance-code-of-practice/cyber-governance-code-of-practice"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supplier.iasme.co.uk/" TargetMode="External"/><Relationship Id="rId4" Type="http://schemas.openxmlformats.org/officeDocument/2006/relationships/webSettings" Target="webSettings.xml"/><Relationship Id="rId9" Type="http://schemas.openxmlformats.org/officeDocument/2006/relationships/hyperlink" Target="https://www.ncsc.gov.uk/section/active-cyber-defence/early-warning"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396</Words>
  <Characters>2053</Characters>
  <Application>Microsoft Office Word</Application>
  <DocSecurity>0</DocSecurity>
  <Lines>47</Lines>
  <Paragraphs>25</Paragraphs>
  <ScaleCrop>false</ScaleCrop>
  <Company/>
  <LinksUpToDate>false</LinksUpToDate>
  <CharactersWithSpaces>2424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Lowrie, Kevin (DSIT)</dc:creator>
  <dc:description/>
  <cp:lastModifiedBy>Fay, Jordan L</cp:lastModifiedBy>
  <cp:revision>3</cp:revision>
  <dcterms:created xsi:type="dcterms:W3CDTF">2026-06-01T08:05:00Z</dcterms:created>
  <dcterms:modified xsi:type="dcterms:W3CDTF">2026-08-28T15:02:00Z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18826d9f,23d1867f,3e0e743</vt:lpwstr>
  </property>
  <property fmtid="{D5CDD505-2E9C-101B-9397-08002B2CF9AE}" pid="3" name="ClassificationContentMarkingHeaderFontProps">
    <vt:lpwstr>#000000,10,Aptos</vt:lpwstr>
  </property>
  <property fmtid="{D5CDD505-2E9C-101B-9397-08002B2CF9AE}" pid="4" name="ClassificationContentMarkingHeaderText">
    <vt:lpwstr>OFFICIAL - FOR PUBLIC RELEASE</vt:lpwstr>
  </property>
  <property fmtid="{D5CDD505-2E9C-101B-9397-08002B2CF9AE}" pid="5" name="ClassificationContentMarkingFooterShapeIds">
    <vt:lpwstr>4236823a,17f44c96,7eb0e22e</vt:lpwstr>
  </property>
  <property fmtid="{D5CDD505-2E9C-101B-9397-08002B2CF9AE}" pid="6" name="ClassificationContentMarkingFooterFontProps">
    <vt:lpwstr>#000000,10,Aptos</vt:lpwstr>
  </property>
  <property fmtid="{D5CDD505-2E9C-101B-9397-08002B2CF9AE}" pid="7" name="ClassificationContentMarkingFooterText">
    <vt:lpwstr>OFFICIAL - FOR PUBLIC RELEASE</vt:lpwstr>
  </property>
  <property fmtid="{D5CDD505-2E9C-101B-9397-08002B2CF9AE}" pid="8" name="MSIP_Label_a4200942-dd40-4530-96b6-ebe359e8009d_Enabled">
    <vt:lpwstr>true</vt:lpwstr>
  </property>
  <property fmtid="{D5CDD505-2E9C-101B-9397-08002B2CF9AE}" pid="9" name="MSIP_Label_a4200942-dd40-4530-96b6-ebe359e8009d_SetDate">
    <vt:lpwstr>2026-06-01T08:05:31Z</vt:lpwstr>
  </property>
  <property fmtid="{D5CDD505-2E9C-101B-9397-08002B2CF9AE}" pid="10" name="MSIP_Label_a4200942-dd40-4530-96b6-ebe359e8009d_Method">
    <vt:lpwstr>Privileged</vt:lpwstr>
  </property>
  <property fmtid="{D5CDD505-2E9C-101B-9397-08002B2CF9AE}" pid="11" name="MSIP_Label_a4200942-dd40-4530-96b6-ebe359e8009d_Name">
    <vt:lpwstr>a4200942-dd40-4530-96b6-ebe359e8009d</vt:lpwstr>
  </property>
  <property fmtid="{D5CDD505-2E9C-101B-9397-08002B2CF9AE}" pid="12" name="MSIP_Label_a4200942-dd40-4530-96b6-ebe359e8009d_SiteId">
    <vt:lpwstr>953b0f83-1ce6-45c3-82c9-1d847e372339</vt:lpwstr>
  </property>
  <property fmtid="{D5CDD505-2E9C-101B-9397-08002B2CF9AE}" pid="13" name="MSIP_Label_a4200942-dd40-4530-96b6-ebe359e8009d_ActionId">
    <vt:lpwstr>9be6c2dd-897a-4c08-96d7-1f6e9c229f0a</vt:lpwstr>
  </property>
  <property fmtid="{D5CDD505-2E9C-101B-9397-08002B2CF9AE}" pid="14" name="MSIP_Label_a4200942-dd40-4530-96b6-ebe359e8009d_ContentBits">
    <vt:lpwstr>0</vt:lpwstr>
  </property>
  <property fmtid="{D5CDD505-2E9C-101B-9397-08002B2CF9AE}" pid="15" name="MSIP_Label_a4200942-dd40-4530-96b6-ebe359e8009d_Tag">
    <vt:lpwstr>10, 0, 1, 1</vt:lpwstr>
  </property>
</Properties>
</file>